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039C" w14:textId="4A8162FE" w:rsidR="00B33910" w:rsidRPr="00DF5FA2" w:rsidRDefault="00101DD7" w:rsidP="00101DD7">
      <w:pPr>
        <w:tabs>
          <w:tab w:val="left" w:pos="6020"/>
        </w:tabs>
        <w:jc w:val="center"/>
      </w:pPr>
      <w:r w:rsidRPr="00DF5FA2">
        <w:rPr>
          <w:noProof/>
        </w:rPr>
        <w:drawing>
          <wp:inline distT="0" distB="0" distL="0" distR="0" wp14:anchorId="00734C88" wp14:editId="7DCDF11F">
            <wp:extent cx="3809410" cy="11366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514" cy="1168011"/>
                    </a:xfrm>
                    <a:prstGeom prst="rect">
                      <a:avLst/>
                    </a:prstGeom>
                    <a:noFill/>
                    <a:ln>
                      <a:noFill/>
                    </a:ln>
                  </pic:spPr>
                </pic:pic>
              </a:graphicData>
            </a:graphic>
          </wp:inline>
        </w:drawing>
      </w:r>
    </w:p>
    <w:p w14:paraId="1FDB48F9" w14:textId="77777777" w:rsidR="00B33910" w:rsidRPr="00DF5FA2" w:rsidRDefault="00B33910" w:rsidP="00766579">
      <w:pPr>
        <w:jc w:val="center"/>
      </w:pPr>
    </w:p>
    <w:p w14:paraId="6849DC6E" w14:textId="6E9389DB" w:rsidR="00B33910" w:rsidRPr="00DF5FA2" w:rsidRDefault="00B33910" w:rsidP="00B33910">
      <w:pPr>
        <w:jc w:val="center"/>
        <w:rPr>
          <w:sz w:val="40"/>
          <w:szCs w:val="40"/>
        </w:rPr>
      </w:pPr>
      <w:r w:rsidRPr="00DF5FA2">
        <w:rPr>
          <w:rFonts w:eastAsiaTheme="minorEastAsia"/>
          <w:b/>
          <w:bCs/>
          <w:sz w:val="40"/>
          <w:szCs w:val="40"/>
        </w:rPr>
        <w:t>School Year 202</w:t>
      </w:r>
      <w:r w:rsidR="00101DD7" w:rsidRPr="00DF5FA2">
        <w:rPr>
          <w:rFonts w:eastAsiaTheme="minorEastAsia"/>
          <w:b/>
          <w:bCs/>
          <w:sz w:val="40"/>
          <w:szCs w:val="40"/>
        </w:rPr>
        <w:t>4</w:t>
      </w:r>
      <w:r w:rsidRPr="00DF5FA2">
        <w:rPr>
          <w:rFonts w:eastAsiaTheme="minorEastAsia"/>
          <w:b/>
          <w:bCs/>
          <w:sz w:val="40"/>
          <w:szCs w:val="40"/>
        </w:rPr>
        <w:t>-202</w:t>
      </w:r>
      <w:r w:rsidR="00101DD7" w:rsidRPr="00DF5FA2">
        <w:rPr>
          <w:rFonts w:eastAsiaTheme="minorEastAsia"/>
          <w:b/>
          <w:bCs/>
          <w:sz w:val="40"/>
          <w:szCs w:val="40"/>
        </w:rPr>
        <w:t>5</w:t>
      </w:r>
    </w:p>
    <w:p w14:paraId="749A48EA" w14:textId="0EB67FFB" w:rsidR="00B33910" w:rsidRPr="00DF5FA2" w:rsidRDefault="00101DD7" w:rsidP="00B33910">
      <w:pPr>
        <w:jc w:val="center"/>
        <w:rPr>
          <w:b/>
          <w:bCs/>
          <w:sz w:val="56"/>
          <w:szCs w:val="56"/>
        </w:rPr>
      </w:pPr>
      <w:r w:rsidRPr="00DF5FA2">
        <w:rPr>
          <w:rFonts w:eastAsiaTheme="minorEastAsia"/>
          <w:b/>
          <w:bCs/>
          <w:sz w:val="56"/>
          <w:szCs w:val="56"/>
        </w:rPr>
        <w:t>FY25</w:t>
      </w:r>
      <w:r w:rsidR="00B33910" w:rsidRPr="00DF5FA2">
        <w:rPr>
          <w:rFonts w:eastAsiaTheme="minorEastAsia"/>
          <w:b/>
          <w:bCs/>
          <w:sz w:val="56"/>
          <w:szCs w:val="56"/>
        </w:rPr>
        <w:t xml:space="preserve"> Title I </w:t>
      </w:r>
      <w:r w:rsidRPr="00DF5FA2">
        <w:rPr>
          <w:rFonts w:eastAsiaTheme="minorEastAsia"/>
          <w:b/>
          <w:bCs/>
          <w:sz w:val="56"/>
          <w:szCs w:val="56"/>
        </w:rPr>
        <w:t>Schoolwide Charter</w:t>
      </w:r>
      <w:r w:rsidR="00B33910" w:rsidRPr="00DF5FA2">
        <w:rPr>
          <w:rFonts w:eastAsiaTheme="minorEastAsia"/>
          <w:b/>
          <w:bCs/>
          <w:sz w:val="56"/>
          <w:szCs w:val="56"/>
        </w:rPr>
        <w:t xml:space="preserve"> Plan </w:t>
      </w:r>
    </w:p>
    <w:p w14:paraId="5DEC3ADB" w14:textId="77777777" w:rsidR="00B33910" w:rsidRPr="00DF5FA2" w:rsidRDefault="00C9757D" w:rsidP="00B33910">
      <w:pPr>
        <w:jc w:val="center"/>
      </w:pPr>
      <w:r>
        <w:rPr>
          <w:noProof/>
        </w:rPr>
        <w:pict w14:anchorId="42DBC249">
          <v:rect id="_x0000_i1025" alt="" style="width:468pt;height:.05pt;mso-width-percent:0;mso-height-percent:0;mso-width-percent:0;mso-height-percent:0" o:hralign="center" o:hrstd="t" o:hrnoshade="t" o:hr="t" fillcolor="black" stroked="f"/>
        </w:pict>
      </w:r>
    </w:p>
    <w:p w14:paraId="4A9ADB85" w14:textId="0D1AF1CA" w:rsidR="00B33910" w:rsidRPr="007A09AD" w:rsidRDefault="00B33910" w:rsidP="00766579">
      <w:r w:rsidRPr="00DF5FA2">
        <w:rPr>
          <w:rFonts w:eastAsiaTheme="minorEastAsia"/>
          <w:b/>
          <w:bCs/>
        </w:rPr>
        <w:t>School Number:</w:t>
      </w:r>
      <w:r w:rsidR="007A09AD">
        <w:rPr>
          <w:rFonts w:eastAsiaTheme="minorEastAsia"/>
          <w:b/>
          <w:bCs/>
        </w:rPr>
        <w:t xml:space="preserve"> </w:t>
      </w:r>
      <w:r w:rsidR="007A09AD">
        <w:rPr>
          <w:rFonts w:eastAsiaTheme="minorEastAsia"/>
        </w:rPr>
        <w:t>386</w:t>
      </w:r>
    </w:p>
    <w:p w14:paraId="31E44FBD" w14:textId="2857F12F" w:rsidR="00B33910" w:rsidRPr="007A09AD" w:rsidRDefault="00B33910" w:rsidP="00766579">
      <w:r w:rsidRPr="00DF5FA2">
        <w:rPr>
          <w:rFonts w:eastAsiaTheme="minorEastAsia"/>
          <w:b/>
          <w:bCs/>
        </w:rPr>
        <w:t>School Name:</w:t>
      </w:r>
      <w:r w:rsidR="007A09AD">
        <w:rPr>
          <w:rFonts w:eastAsiaTheme="minorEastAsia"/>
          <w:b/>
          <w:bCs/>
        </w:rPr>
        <w:t xml:space="preserve"> </w:t>
      </w:r>
      <w:r w:rsidR="007A09AD">
        <w:rPr>
          <w:rFonts w:eastAsiaTheme="minorEastAsia"/>
        </w:rPr>
        <w:t>Clay Hill Public Charter School</w:t>
      </w:r>
      <w:r w:rsidR="007A09AD">
        <w:rPr>
          <w:rFonts w:eastAsiaTheme="minorEastAsia"/>
        </w:rPr>
        <w:tab/>
      </w:r>
    </w:p>
    <w:p w14:paraId="1ED3D802" w14:textId="4B666035" w:rsidR="00B33910" w:rsidRPr="007A09AD" w:rsidRDefault="00B33910" w:rsidP="00766579">
      <w:r w:rsidRPr="00DF5FA2">
        <w:rPr>
          <w:rFonts w:eastAsiaTheme="minorEastAsia"/>
          <w:b/>
          <w:bCs/>
        </w:rPr>
        <w:t>Principal:</w:t>
      </w:r>
      <w:r w:rsidR="007A09AD">
        <w:rPr>
          <w:rFonts w:eastAsiaTheme="minorEastAsia"/>
          <w:b/>
          <w:bCs/>
        </w:rPr>
        <w:t xml:space="preserve"> </w:t>
      </w:r>
      <w:r w:rsidR="007A09AD">
        <w:rPr>
          <w:rFonts w:eastAsiaTheme="minorEastAsia"/>
        </w:rPr>
        <w:t>Emily Augustine</w:t>
      </w:r>
    </w:p>
    <w:p w14:paraId="4012901B" w14:textId="5B0ECE44" w:rsidR="00B33910" w:rsidRPr="007A09AD" w:rsidRDefault="00B33910" w:rsidP="00766579">
      <w:pPr>
        <w:rPr>
          <w:rFonts w:eastAsiaTheme="minorEastAsia"/>
        </w:rPr>
      </w:pPr>
      <w:r w:rsidRPr="00DF5FA2">
        <w:rPr>
          <w:rFonts w:eastAsiaTheme="minorEastAsia"/>
          <w:b/>
          <w:bCs/>
        </w:rPr>
        <w:t>Operator:</w:t>
      </w:r>
      <w:r w:rsidR="007A09AD">
        <w:rPr>
          <w:rFonts w:eastAsiaTheme="minorEastAsia"/>
          <w:b/>
          <w:bCs/>
        </w:rPr>
        <w:t xml:space="preserve"> </w:t>
      </w:r>
      <w:r w:rsidR="007A09AD">
        <w:rPr>
          <w:rFonts w:eastAsiaTheme="minorEastAsia"/>
        </w:rPr>
        <w:t>Bluebird Education Network</w:t>
      </w:r>
    </w:p>
    <w:p w14:paraId="232F2B4F" w14:textId="12FADEAE" w:rsidR="00B33910" w:rsidRPr="007A09AD" w:rsidRDefault="00B33910" w:rsidP="00766579">
      <w:pPr>
        <w:rPr>
          <w:rFonts w:eastAsiaTheme="minorEastAsia"/>
        </w:rPr>
      </w:pPr>
      <w:r w:rsidRPr="00DF5FA2">
        <w:rPr>
          <w:rFonts w:eastAsiaTheme="minorEastAsia"/>
          <w:b/>
          <w:bCs/>
        </w:rPr>
        <w:t>School Title I Point of Contact:</w:t>
      </w:r>
      <w:r w:rsidR="007A09AD">
        <w:rPr>
          <w:rFonts w:eastAsiaTheme="minorEastAsia"/>
          <w:b/>
          <w:bCs/>
        </w:rPr>
        <w:t xml:space="preserve"> </w:t>
      </w:r>
      <w:r w:rsidR="007A09AD">
        <w:rPr>
          <w:rFonts w:eastAsiaTheme="minorEastAsia"/>
        </w:rPr>
        <w:t>Emily Augustine</w:t>
      </w:r>
    </w:p>
    <w:p w14:paraId="639D44D2" w14:textId="26C65834" w:rsidR="00B33910" w:rsidRPr="007A09AD" w:rsidRDefault="00B33910" w:rsidP="00766579">
      <w:pPr>
        <w:rPr>
          <w:rFonts w:eastAsiaTheme="minorEastAsia"/>
        </w:rPr>
      </w:pPr>
      <w:r w:rsidRPr="00DF5FA2">
        <w:rPr>
          <w:rFonts w:eastAsiaTheme="minorEastAsia"/>
          <w:b/>
          <w:bCs/>
        </w:rPr>
        <w:t>Assigned DMC Title I Specialist:</w:t>
      </w:r>
      <w:r w:rsidR="007A09AD">
        <w:rPr>
          <w:rFonts w:eastAsiaTheme="minorEastAsia"/>
          <w:b/>
          <w:bCs/>
        </w:rPr>
        <w:t xml:space="preserve"> </w:t>
      </w:r>
      <w:r w:rsidR="007A09AD">
        <w:rPr>
          <w:rFonts w:eastAsiaTheme="minorEastAsia"/>
        </w:rPr>
        <w:t>Lauren Williams</w:t>
      </w:r>
    </w:p>
    <w:p w14:paraId="2366254D" w14:textId="04E53821" w:rsidR="00B33910" w:rsidRPr="007A09AD" w:rsidRDefault="00B33910" w:rsidP="00766579">
      <w:pPr>
        <w:rPr>
          <w:rFonts w:eastAsiaTheme="minorEastAsia"/>
        </w:rPr>
      </w:pPr>
      <w:r w:rsidRPr="00DF5FA2">
        <w:rPr>
          <w:rFonts w:eastAsiaTheme="minorEastAsia"/>
          <w:b/>
          <w:bCs/>
        </w:rPr>
        <w:t>School Website</w:t>
      </w:r>
      <w:r w:rsidR="00766579" w:rsidRPr="00DF5FA2">
        <w:rPr>
          <w:rFonts w:eastAsiaTheme="minorEastAsia"/>
          <w:b/>
          <w:bCs/>
        </w:rPr>
        <w:t xml:space="preserve"> with FY2</w:t>
      </w:r>
      <w:r w:rsidR="00101DD7" w:rsidRPr="00DF5FA2">
        <w:rPr>
          <w:rFonts w:eastAsiaTheme="minorEastAsia"/>
          <w:b/>
          <w:bCs/>
        </w:rPr>
        <w:t>5</w:t>
      </w:r>
      <w:r w:rsidR="00766579" w:rsidRPr="00DF5FA2">
        <w:rPr>
          <w:rFonts w:eastAsiaTheme="minorEastAsia"/>
          <w:b/>
          <w:bCs/>
        </w:rPr>
        <w:t xml:space="preserve"> Title I Plan posting</w:t>
      </w:r>
      <w:r w:rsidRPr="00DF5FA2">
        <w:rPr>
          <w:rFonts w:eastAsiaTheme="minorEastAsia"/>
          <w:b/>
          <w:bCs/>
        </w:rPr>
        <w:t>:</w:t>
      </w:r>
      <w:r w:rsidR="007A09AD">
        <w:rPr>
          <w:rFonts w:eastAsiaTheme="minorEastAsia"/>
          <w:b/>
          <w:bCs/>
        </w:rPr>
        <w:t xml:space="preserve"> </w:t>
      </w:r>
      <w:r w:rsidR="007A09AD">
        <w:rPr>
          <w:rFonts w:eastAsiaTheme="minorEastAsia"/>
        </w:rPr>
        <w:t>www.clayhillpcs.org</w:t>
      </w:r>
    </w:p>
    <w:p w14:paraId="2499E9EE" w14:textId="77777777" w:rsidR="00766579" w:rsidRPr="00DF5FA2" w:rsidRDefault="00766579" w:rsidP="00766579">
      <w:pPr>
        <w:rPr>
          <w:rFonts w:eastAsiaTheme="minorEastAsia"/>
          <w:b/>
          <w:bCs/>
        </w:rPr>
      </w:pPr>
    </w:p>
    <w:p w14:paraId="20B1BBDD" w14:textId="77777777" w:rsidR="00B33910" w:rsidRPr="00DF5FA2" w:rsidRDefault="00B33910" w:rsidP="00766579">
      <w:pPr>
        <w:tabs>
          <w:tab w:val="left" w:pos="6390"/>
        </w:tabs>
        <w:jc w:val="right"/>
      </w:pPr>
    </w:p>
    <w:p w14:paraId="2FA76AE5" w14:textId="77777777" w:rsidR="00101DD7" w:rsidRPr="00DF5FA2" w:rsidRDefault="00101DD7">
      <w:r w:rsidRPr="00DF5FA2">
        <w:rPr>
          <w:b/>
          <w:bCs/>
        </w:rPr>
        <w:br w:type="page"/>
      </w:r>
    </w:p>
    <w:sdt>
      <w:sdtPr>
        <w:rPr>
          <w:rFonts w:ascii="Times New Roman" w:eastAsiaTheme="minorHAnsi" w:hAnsi="Times New Roman" w:cs="Times New Roman"/>
          <w:b w:val="0"/>
          <w:bCs w:val="0"/>
          <w:color w:val="auto"/>
          <w:sz w:val="22"/>
          <w:szCs w:val="22"/>
        </w:rPr>
        <w:id w:val="1983805240"/>
        <w:docPartObj>
          <w:docPartGallery w:val="Table of Contents"/>
          <w:docPartUnique/>
        </w:docPartObj>
      </w:sdtPr>
      <w:sdtEndPr>
        <w:rPr>
          <w:rFonts w:eastAsia="Times New Roman"/>
          <w:noProof/>
          <w:sz w:val="24"/>
          <w:szCs w:val="24"/>
        </w:rPr>
      </w:sdtEndPr>
      <w:sdtContent>
        <w:p w14:paraId="5D80CC4C" w14:textId="6B04BBD9" w:rsidR="00B33910" w:rsidRPr="00DF5FA2" w:rsidRDefault="00B33910" w:rsidP="00766579">
          <w:pPr>
            <w:pStyle w:val="TOCHeading"/>
            <w:rPr>
              <w:rFonts w:ascii="Times New Roman" w:hAnsi="Times New Roman" w:cs="Times New Roman"/>
              <w:sz w:val="32"/>
              <w:szCs w:val="32"/>
            </w:rPr>
          </w:pPr>
          <w:r w:rsidRPr="00DF5FA2">
            <w:rPr>
              <w:rFonts w:ascii="Times New Roman" w:hAnsi="Times New Roman" w:cs="Times New Roman"/>
              <w:sz w:val="32"/>
              <w:szCs w:val="32"/>
            </w:rPr>
            <w:t>Table of Contents</w:t>
          </w:r>
        </w:p>
        <w:p w14:paraId="312A7699" w14:textId="77777777" w:rsidR="00B33910" w:rsidRPr="00DF5FA2" w:rsidRDefault="00B33910" w:rsidP="002D12FD">
          <w:pPr>
            <w:pStyle w:val="TOC1"/>
            <w:numPr>
              <w:ilvl w:val="0"/>
              <w:numId w:val="0"/>
            </w:numPr>
            <w:rPr>
              <w:rFonts w:ascii="Times New Roman" w:eastAsiaTheme="minorEastAsia" w:hAnsi="Times New Roman" w:cs="Times New Roman"/>
              <w:noProof/>
            </w:rPr>
          </w:pPr>
          <w:r w:rsidRPr="00DF5FA2">
            <w:rPr>
              <w:rFonts w:ascii="Times New Roman" w:hAnsi="Times New Roman" w:cs="Times New Roman"/>
            </w:rPr>
            <w:fldChar w:fldCharType="begin"/>
          </w:r>
          <w:r w:rsidRPr="00DF5FA2">
            <w:rPr>
              <w:rFonts w:ascii="Times New Roman" w:hAnsi="Times New Roman" w:cs="Times New Roman"/>
            </w:rPr>
            <w:instrText xml:space="preserve"> TOC \o "1-3" \h \z \u </w:instrText>
          </w:r>
          <w:r w:rsidRPr="00DF5FA2">
            <w:rPr>
              <w:rFonts w:ascii="Times New Roman" w:hAnsi="Times New Roman" w:cs="Times New Roman"/>
            </w:rPr>
            <w:fldChar w:fldCharType="separate"/>
          </w:r>
          <w:hyperlink w:anchor="_Toc513012677" w:history="1">
            <w:r w:rsidRPr="00DF5FA2">
              <w:rPr>
                <w:rStyle w:val="Hyperlink"/>
                <w:rFonts w:ascii="Times New Roman" w:hAnsi="Times New Roman" w:cs="Times New Roman"/>
                <w:b/>
                <w:noProof/>
              </w:rPr>
              <w:t>I. Component 1: Comprehensive Needs Assessment (CNA)</w:t>
            </w:r>
            <w:r w:rsidRPr="00DF5FA2">
              <w:rPr>
                <w:rFonts w:ascii="Times New Roman" w:hAnsi="Times New Roman" w:cs="Times New Roman"/>
                <w:noProof/>
                <w:webHidden/>
              </w:rPr>
              <w:tab/>
            </w:r>
            <w:r w:rsidRPr="00DF5FA2">
              <w:rPr>
                <w:rFonts w:ascii="Times New Roman" w:hAnsi="Times New Roman" w:cs="Times New Roman"/>
                <w:noProof/>
                <w:webHidden/>
              </w:rPr>
              <w:fldChar w:fldCharType="begin"/>
            </w:r>
            <w:r w:rsidRPr="00DF5FA2">
              <w:rPr>
                <w:rFonts w:ascii="Times New Roman" w:hAnsi="Times New Roman" w:cs="Times New Roman"/>
                <w:noProof/>
                <w:webHidden/>
              </w:rPr>
              <w:instrText xml:space="preserve"> PAGEREF _Toc513012677 \h </w:instrText>
            </w:r>
            <w:r w:rsidRPr="00DF5FA2">
              <w:rPr>
                <w:rFonts w:ascii="Times New Roman" w:hAnsi="Times New Roman" w:cs="Times New Roman"/>
                <w:noProof/>
                <w:webHidden/>
              </w:rPr>
            </w:r>
            <w:r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3</w:t>
            </w:r>
            <w:r w:rsidRPr="00DF5FA2">
              <w:rPr>
                <w:rFonts w:ascii="Times New Roman" w:hAnsi="Times New Roman" w:cs="Times New Roman"/>
                <w:noProof/>
                <w:webHidden/>
              </w:rPr>
              <w:fldChar w:fldCharType="end"/>
            </w:r>
          </w:hyperlink>
        </w:p>
        <w:p w14:paraId="45149024"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8" w:history="1">
            <w:r w:rsidR="00B33910" w:rsidRPr="00DF5FA2">
              <w:rPr>
                <w:rStyle w:val="Hyperlink"/>
                <w:rFonts w:ascii="Times New Roman" w:hAnsi="Times New Roman" w:cs="Times New Roman"/>
                <w:b/>
                <w:noProof/>
              </w:rPr>
              <w:t>a. Data Sources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_Toc513012678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3</w:t>
            </w:r>
            <w:r w:rsidR="00B33910" w:rsidRPr="00DF5FA2">
              <w:rPr>
                <w:rFonts w:ascii="Times New Roman" w:hAnsi="Times New Roman" w:cs="Times New Roman"/>
                <w:noProof/>
                <w:webHidden/>
              </w:rPr>
              <w:fldChar w:fldCharType="end"/>
            </w:r>
          </w:hyperlink>
        </w:p>
        <w:p w14:paraId="40EA96A3" w14:textId="1FFF563C"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9" w:history="1">
            <w:r w:rsidR="00B33910" w:rsidRPr="00DF5FA2">
              <w:rPr>
                <w:rStyle w:val="Hyperlink"/>
                <w:rFonts w:ascii="Times New Roman" w:hAnsi="Times New Roman" w:cs="Times New Roman"/>
                <w:b/>
                <w:noProof/>
              </w:rPr>
              <w:t>b. Identified Prioritized Needs for SY2</w:t>
            </w:r>
            <w:r w:rsidR="00101DD7" w:rsidRPr="00DF5FA2">
              <w:rPr>
                <w:rStyle w:val="Hyperlink"/>
                <w:rFonts w:ascii="Times New Roman" w:hAnsi="Times New Roman" w:cs="Times New Roman"/>
                <w:b/>
                <w:noProof/>
              </w:rPr>
              <w:t>4</w:t>
            </w:r>
            <w:r w:rsidR="00B33910" w:rsidRPr="00DF5FA2">
              <w:rPr>
                <w:rStyle w:val="Hyperlink"/>
                <w:rFonts w:ascii="Times New Roman" w:hAnsi="Times New Roman" w:cs="Times New Roman"/>
                <w:b/>
                <w:noProof/>
              </w:rPr>
              <w:t>-2</w:t>
            </w:r>
            <w:r w:rsidR="00101DD7" w:rsidRPr="00DF5FA2">
              <w:rPr>
                <w:rStyle w:val="Hyperlink"/>
                <w:rFonts w:ascii="Times New Roman" w:hAnsi="Times New Roman" w:cs="Times New Roman"/>
                <w:b/>
                <w:noProof/>
              </w:rPr>
              <w:t>5</w:t>
            </w:r>
            <w:r w:rsidR="00B33910" w:rsidRPr="00DF5FA2">
              <w:rPr>
                <w:rStyle w:val="Hyperlink"/>
                <w:rFonts w:ascii="Times New Roman" w:hAnsi="Times New Roman" w:cs="Times New Roman"/>
                <w:b/>
                <w:noProof/>
              </w:rPr>
              <w: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_Toc513012679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4</w:t>
            </w:r>
            <w:r w:rsidR="00B33910" w:rsidRPr="00DF5FA2">
              <w:rPr>
                <w:rFonts w:ascii="Times New Roman" w:hAnsi="Times New Roman" w:cs="Times New Roman"/>
                <w:noProof/>
                <w:webHidden/>
              </w:rPr>
              <w:fldChar w:fldCharType="end"/>
            </w:r>
          </w:hyperlink>
        </w:p>
        <w:p w14:paraId="02A1B1BA"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0" w:history="1">
            <w:r w:rsidR="00B33910" w:rsidRPr="00DF5FA2">
              <w:rPr>
                <w:rStyle w:val="Hyperlink"/>
                <w:rFonts w:ascii="Times New Roman" w:hAnsi="Times New Roman" w:cs="Times New Roman"/>
                <w:b/>
                <w:noProof/>
              </w:rPr>
              <w:t>II. Component 2: Schoolwide Reform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_Toc513012680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102BDD21"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1" w:history="1">
            <w:r w:rsidR="00B33910" w:rsidRPr="00DF5FA2">
              <w:rPr>
                <w:rStyle w:val="Hyperlink"/>
                <w:rFonts w:ascii="Times New Roman" w:hAnsi="Times New Roman" w:cs="Times New Roman"/>
                <w:b/>
                <w:noProof/>
              </w:rPr>
              <w:t>a. Statement of Goals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_Toc513012681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7DCEE313"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2" w:history="1">
            <w:r w:rsidR="00B33910" w:rsidRPr="00DF5FA2">
              <w:rPr>
                <w:rStyle w:val="Hyperlink"/>
                <w:rFonts w:ascii="Times New Roman" w:hAnsi="Times New Roman" w:cs="Times New Roman"/>
                <w:b/>
                <w:noProof/>
              </w:rPr>
              <w:t>b. Identification of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_Toc513012682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04EA4791"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3" w:history="1">
            <w:r w:rsidR="00B33910" w:rsidRPr="00DF5FA2">
              <w:rPr>
                <w:rStyle w:val="Hyperlink"/>
                <w:rFonts w:ascii="Times New Roman" w:hAnsi="Times New Roman" w:cs="Times New Roman"/>
                <w:b/>
                <w:noProof/>
              </w:rPr>
              <w:t>III. Component 3: Parent, Community, and Stakeholder Involvement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_Toc513012683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9</w:t>
            </w:r>
            <w:r w:rsidR="00B33910" w:rsidRPr="00DF5FA2">
              <w:rPr>
                <w:rFonts w:ascii="Times New Roman" w:hAnsi="Times New Roman" w:cs="Times New Roman"/>
                <w:noProof/>
                <w:webHidden/>
              </w:rPr>
              <w:fldChar w:fldCharType="end"/>
            </w:r>
          </w:hyperlink>
        </w:p>
        <w:p w14:paraId="2AC83C4D"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4" w:history="1">
            <w:r w:rsidR="00B33910" w:rsidRPr="00DF5FA2">
              <w:rPr>
                <w:rStyle w:val="Hyperlink"/>
                <w:rFonts w:ascii="Times New Roman" w:hAnsi="Times New Roman" w:cs="Times New Roman"/>
                <w:b/>
                <w:noProof/>
              </w:rPr>
              <w:t>IV. Component 4: Coordination with other Federal, State, and Local Services, Resources, and Programs.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_Toc513012684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10</w:t>
            </w:r>
            <w:r w:rsidR="00B33910" w:rsidRPr="00DF5FA2">
              <w:rPr>
                <w:rFonts w:ascii="Times New Roman" w:hAnsi="Times New Roman" w:cs="Times New Roman"/>
                <w:noProof/>
                <w:webHidden/>
              </w:rPr>
              <w:fldChar w:fldCharType="end"/>
            </w:r>
          </w:hyperlink>
        </w:p>
        <w:p w14:paraId="5EBE1968" w14:textId="77777777" w:rsidR="00B33910" w:rsidRPr="00DF5FA2" w:rsidRDefault="00B33910" w:rsidP="00B33910">
          <w:r w:rsidRPr="00DF5FA2">
            <w:rPr>
              <w:b/>
              <w:bCs/>
              <w:noProof/>
            </w:rPr>
            <w:fldChar w:fldCharType="end"/>
          </w:r>
        </w:p>
      </w:sdtContent>
    </w:sdt>
    <w:p w14:paraId="3DE196E7" w14:textId="77777777" w:rsidR="00B33910" w:rsidRPr="00DF5FA2" w:rsidRDefault="00B33910" w:rsidP="00B33910">
      <w:pPr>
        <w:rPr>
          <w:b/>
          <w:kern w:val="36"/>
          <w:sz w:val="28"/>
        </w:rPr>
      </w:pPr>
      <w:r w:rsidRPr="00DF5FA2">
        <w:rPr>
          <w:bCs/>
          <w:sz w:val="28"/>
        </w:rPr>
        <w:br w:type="page"/>
      </w:r>
    </w:p>
    <w:p w14:paraId="5600586F" w14:textId="77777777" w:rsidR="00101DD7" w:rsidRPr="00DF5FA2" w:rsidRDefault="00B33910" w:rsidP="00766579">
      <w:pPr>
        <w:pStyle w:val="Heading1"/>
        <w:keepLines w:val="0"/>
        <w:spacing w:before="0" w:line="240" w:lineRule="auto"/>
        <w:rPr>
          <w:rStyle w:val="SubtitleChar"/>
          <w:rFonts w:ascii="Times New Roman" w:hAnsi="Times New Roman" w:cs="Times New Roman"/>
          <w:iCs/>
          <w:color w:val="2F5496" w:themeColor="accent1" w:themeShade="BF"/>
          <w:sz w:val="22"/>
          <w:szCs w:val="22"/>
        </w:rPr>
      </w:pPr>
      <w:bookmarkStart w:id="0" w:name="_Toc513012677"/>
      <w:bookmarkStart w:id="1" w:name="_Toc511652462"/>
      <w:r w:rsidRPr="00DF5FA2">
        <w:rPr>
          <w:rFonts w:ascii="Times New Roman" w:hAnsi="Times New Roman" w:cs="Times New Roman"/>
          <w:b/>
          <w:sz w:val="28"/>
          <w:szCs w:val="28"/>
        </w:rPr>
        <w:lastRenderedPageBreak/>
        <w:t>I. Component 1: Comprehensive Needs Assessment (CNA)</w:t>
      </w:r>
      <w:bookmarkEnd w:id="0"/>
      <w:r w:rsidR="00766579" w:rsidRPr="00DF5FA2">
        <w:rPr>
          <w:rFonts w:ascii="Times New Roman" w:hAnsi="Times New Roman" w:cs="Times New Roman"/>
          <w:b/>
          <w:sz w:val="28"/>
          <w:szCs w:val="28"/>
        </w:rPr>
        <w:t>:</w:t>
      </w:r>
      <w:r w:rsidR="00766579" w:rsidRPr="00DF5FA2">
        <w:rPr>
          <w:rFonts w:ascii="Times New Roman" w:hAnsi="Times New Roman" w:cs="Times New Roman"/>
          <w:b/>
        </w:rPr>
        <w:t xml:space="preserve"> </w:t>
      </w:r>
      <w:r w:rsidRPr="00DF5FA2">
        <w:rPr>
          <w:rStyle w:val="SubtitleChar"/>
          <w:rFonts w:ascii="Times New Roman" w:hAnsi="Times New Roman" w:cs="Times New Roman"/>
          <w:iCs/>
          <w:color w:val="2F5496" w:themeColor="accent1" w:themeShade="BF"/>
          <w:sz w:val="22"/>
          <w:szCs w:val="22"/>
        </w:rPr>
        <w:t xml:space="preserve">To ensure that a school’s comprehensive plan best serves the needs of those children who are failing, or are at-risk of failing, to meet the challenging State academic standards, </w:t>
      </w:r>
      <w:r w:rsidRPr="00DF5FA2">
        <w:rPr>
          <w:rStyle w:val="SubtitleChar"/>
          <w:rFonts w:ascii="Times New Roman" w:hAnsi="Times New Roman" w:cs="Times New Roman"/>
          <w:b/>
          <w:bCs/>
          <w:iCs/>
          <w:color w:val="2F5496" w:themeColor="accent1" w:themeShade="BF"/>
          <w:sz w:val="22"/>
          <w:szCs w:val="22"/>
        </w:rPr>
        <w:t>the school must conduct a comprehensive needs assessment of the entire school that considers information on the academic achievement of children in relation to the challenging State academic standards</w:t>
      </w:r>
      <w:r w:rsidRPr="00DF5FA2">
        <w:rPr>
          <w:rStyle w:val="SubtitleChar"/>
          <w:rFonts w:ascii="Times New Roman" w:hAnsi="Times New Roman" w:cs="Times New Roman"/>
          <w:iCs/>
          <w:color w:val="2F5496" w:themeColor="accent1" w:themeShade="BF"/>
          <w:sz w:val="22"/>
          <w:szCs w:val="22"/>
        </w:rPr>
        <w:t>.</w:t>
      </w:r>
    </w:p>
    <w:p w14:paraId="138CFE0A" w14:textId="30D3183B" w:rsidR="00B33910" w:rsidRPr="00DF5FA2" w:rsidRDefault="00B33910" w:rsidP="00766579">
      <w:pPr>
        <w:pStyle w:val="Heading1"/>
        <w:keepLines w:val="0"/>
        <w:spacing w:before="0" w:line="240" w:lineRule="auto"/>
        <w:rPr>
          <w:rStyle w:val="SubtitleChar"/>
          <w:rFonts w:ascii="Times New Roman" w:hAnsi="Times New Roman" w:cs="Times New Roman"/>
          <w:b/>
          <w:sz w:val="22"/>
          <w:szCs w:val="22"/>
        </w:rPr>
      </w:pPr>
      <w:r w:rsidRPr="00DF5FA2">
        <w:rPr>
          <w:rStyle w:val="SubtitleChar"/>
          <w:rFonts w:ascii="Times New Roman" w:hAnsi="Times New Roman" w:cs="Times New Roman"/>
          <w:i/>
          <w:color w:val="2F5496" w:themeColor="accent1" w:themeShade="BF"/>
          <w:sz w:val="22"/>
          <w:szCs w:val="22"/>
        </w:rPr>
        <w:t>(ES</w:t>
      </w:r>
      <w:r w:rsidR="0045252B" w:rsidRPr="00DF5FA2">
        <w:rPr>
          <w:rStyle w:val="SubtitleChar"/>
          <w:rFonts w:ascii="Times New Roman" w:hAnsi="Times New Roman" w:cs="Times New Roman"/>
          <w:i/>
          <w:color w:val="2F5496" w:themeColor="accent1" w:themeShade="BF"/>
          <w:sz w:val="22"/>
          <w:szCs w:val="22"/>
        </w:rPr>
        <w:t>E</w:t>
      </w:r>
      <w:r w:rsidRPr="00DF5FA2">
        <w:rPr>
          <w:rStyle w:val="SubtitleChar"/>
          <w:rFonts w:ascii="Times New Roman" w:hAnsi="Times New Roman" w:cs="Times New Roman"/>
          <w:i/>
          <w:color w:val="2F5496" w:themeColor="accent1" w:themeShade="BF"/>
          <w:sz w:val="22"/>
          <w:szCs w:val="22"/>
        </w:rPr>
        <w:t xml:space="preserve">A section 1114(b)(6)). </w:t>
      </w:r>
      <w:bookmarkEnd w:id="1"/>
    </w:p>
    <w:p w14:paraId="22FA7C2F" w14:textId="77777777" w:rsidR="00B33910" w:rsidRPr="00DF5FA2" w:rsidRDefault="00B33910" w:rsidP="0045252B">
      <w:pPr>
        <w:pStyle w:val="Heading1"/>
        <w:spacing w:line="240" w:lineRule="auto"/>
        <w:ind w:firstLine="720"/>
        <w:rPr>
          <w:rFonts w:ascii="Times New Roman" w:hAnsi="Times New Roman" w:cs="Times New Roman"/>
          <w:b/>
          <w:sz w:val="28"/>
          <w:szCs w:val="28"/>
        </w:rPr>
      </w:pPr>
      <w:bookmarkStart w:id="2" w:name="_Toc513012678"/>
      <w:bookmarkStart w:id="3" w:name="_Toc511652463"/>
      <w:bookmarkStart w:id="4" w:name="_Toc512927984"/>
      <w:r w:rsidRPr="00DF5FA2">
        <w:rPr>
          <w:rFonts w:ascii="Times New Roman" w:hAnsi="Times New Roman" w:cs="Times New Roman"/>
          <w:b/>
          <w:sz w:val="28"/>
          <w:szCs w:val="28"/>
        </w:rPr>
        <w:t>a. Data Sources</w:t>
      </w:r>
      <w:bookmarkEnd w:id="2"/>
    </w:p>
    <w:p w14:paraId="251233A9" w14:textId="121AA594" w:rsidR="00766579" w:rsidRPr="00DF5FA2" w:rsidRDefault="00B33910" w:rsidP="0045252B">
      <w:pPr>
        <w:ind w:firstLine="720"/>
        <w:rPr>
          <w:b/>
          <w:color w:val="2F5496" w:themeColor="accent1" w:themeShade="BF"/>
          <w:sz w:val="28"/>
          <w:szCs w:val="28"/>
        </w:rPr>
      </w:pPr>
      <w:r w:rsidRPr="00DF5FA2">
        <w:rPr>
          <w:b/>
          <w:color w:val="2F5496" w:themeColor="accent1" w:themeShade="BF"/>
          <w:sz w:val="28"/>
          <w:szCs w:val="28"/>
        </w:rPr>
        <w:t xml:space="preserve">(1) </w:t>
      </w:r>
      <w:r w:rsidRPr="00DF5FA2">
        <w:rPr>
          <w:b/>
          <w:color w:val="2F5496" w:themeColor="accent1" w:themeShade="BF"/>
          <w:sz w:val="28"/>
          <w:szCs w:val="28"/>
          <w:highlight w:val="yellow"/>
        </w:rPr>
        <w:t>Identify</w:t>
      </w:r>
      <w:r w:rsidRPr="00DF5FA2">
        <w:rPr>
          <w:b/>
          <w:color w:val="2F5496" w:themeColor="accent1" w:themeShade="BF"/>
          <w:sz w:val="28"/>
          <w:szCs w:val="28"/>
        </w:rPr>
        <w:t xml:space="preserve"> at least 3 sources to ensure triangulation of the data</w:t>
      </w:r>
      <w:bookmarkEnd w:id="3"/>
    </w:p>
    <w:p w14:paraId="7E7AD38A" w14:textId="74D10786" w:rsidR="00B33910" w:rsidRPr="00DF5FA2" w:rsidRDefault="00766579" w:rsidP="00766579">
      <w:pPr>
        <w:rPr>
          <w:b/>
          <w:color w:val="2F5496" w:themeColor="accent1" w:themeShade="BF"/>
          <w:sz w:val="28"/>
          <w:szCs w:val="28"/>
        </w:rPr>
      </w:pPr>
      <w:r w:rsidRPr="00DF5FA2">
        <w:rPr>
          <w:b/>
          <w:color w:val="2F5496" w:themeColor="accent1" w:themeShade="BF"/>
          <w:sz w:val="28"/>
          <w:szCs w:val="28"/>
        </w:rPr>
        <w:t xml:space="preserve"> </w:t>
      </w:r>
      <w:r w:rsidR="0045252B" w:rsidRPr="00DF5FA2">
        <w:rPr>
          <w:b/>
          <w:color w:val="2F5496" w:themeColor="accent1" w:themeShade="BF"/>
          <w:sz w:val="28"/>
          <w:szCs w:val="28"/>
        </w:rPr>
        <w:tab/>
      </w:r>
      <w:r w:rsidRPr="00DF5FA2">
        <w:rPr>
          <w:b/>
          <w:color w:val="2F5496" w:themeColor="accent1" w:themeShade="BF"/>
          <w:sz w:val="28"/>
          <w:szCs w:val="28"/>
        </w:rPr>
        <w:t xml:space="preserve">(2) </w:t>
      </w:r>
      <w:r w:rsidRPr="00DF5FA2">
        <w:rPr>
          <w:b/>
          <w:color w:val="2F5496" w:themeColor="accent1" w:themeShade="BF"/>
          <w:sz w:val="28"/>
          <w:szCs w:val="28"/>
          <w:highlight w:val="yellow"/>
        </w:rPr>
        <w:t>Attach</w:t>
      </w:r>
      <w:r w:rsidRPr="00DF5FA2">
        <w:rPr>
          <w:b/>
          <w:color w:val="2F5496" w:themeColor="accent1" w:themeShade="BF"/>
          <w:sz w:val="28"/>
          <w:szCs w:val="28"/>
        </w:rPr>
        <w:t xml:space="preserve"> actual data reports at aggregate level</w:t>
      </w:r>
      <w:bookmarkEnd w:id="4"/>
    </w:p>
    <w:tbl>
      <w:tblPr>
        <w:tblpPr w:leftFromText="180" w:rightFromText="180" w:vertAnchor="text" w:horzAnchor="margin" w:tblpX="-820" w:tblpY="17"/>
        <w:tblW w:w="5699" w:type="pct"/>
        <w:tblCellMar>
          <w:left w:w="0" w:type="dxa"/>
          <w:right w:w="0" w:type="dxa"/>
        </w:tblCellMar>
        <w:tblLook w:val="04A0" w:firstRow="1" w:lastRow="0" w:firstColumn="1" w:lastColumn="0" w:noHBand="0" w:noVBand="1"/>
      </w:tblPr>
      <w:tblGrid>
        <w:gridCol w:w="5181"/>
        <w:gridCol w:w="4393"/>
        <w:gridCol w:w="5175"/>
      </w:tblGrid>
      <w:tr w:rsidR="00B33910" w:rsidRPr="00DF5FA2" w14:paraId="112702B9" w14:textId="77777777" w:rsidTr="00F55D96">
        <w:trPr>
          <w:cantSplit/>
          <w:trHeight w:val="288"/>
          <w:tblHeader/>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49124560" w14:textId="77777777" w:rsidR="00B33910" w:rsidRPr="00DF5FA2" w:rsidRDefault="00B33910" w:rsidP="006E0337">
            <w:pPr>
              <w:jc w:val="center"/>
              <w:rPr>
                <w:b/>
              </w:rPr>
            </w:pPr>
            <w:r w:rsidRPr="00DF5FA2">
              <w:rPr>
                <w:b/>
              </w:rPr>
              <w:t xml:space="preserve">  Literacy</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5CFC519C" w14:textId="77777777" w:rsidR="00B33910" w:rsidRPr="00DF5FA2" w:rsidRDefault="00B33910" w:rsidP="006E0337">
            <w:pPr>
              <w:jc w:val="center"/>
              <w:rPr>
                <w:b/>
              </w:rPr>
            </w:pPr>
            <w:r w:rsidRPr="00DF5FA2">
              <w:rPr>
                <w:b/>
              </w:rPr>
              <w:t>Math</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Pr>
          <w:p w14:paraId="56D3B06D" w14:textId="77777777" w:rsidR="00B33910" w:rsidRPr="00DF5FA2" w:rsidRDefault="00B33910" w:rsidP="006E0337">
            <w:pPr>
              <w:jc w:val="center"/>
              <w:rPr>
                <w:rFonts w:eastAsiaTheme="minorEastAsia"/>
                <w:b/>
                <w:bCs/>
              </w:rPr>
            </w:pPr>
            <w:r w:rsidRPr="00DF5FA2">
              <w:rPr>
                <w:rFonts w:eastAsiaTheme="minorEastAsia"/>
                <w:b/>
                <w:bCs/>
              </w:rPr>
              <w:t>Other:</w:t>
            </w:r>
          </w:p>
          <w:p w14:paraId="12242EE0" w14:textId="06759840" w:rsidR="00B33910" w:rsidRPr="00DF5FA2" w:rsidRDefault="00B33910" w:rsidP="006E0337">
            <w:pPr>
              <w:jc w:val="center"/>
              <w:rPr>
                <w:rFonts w:eastAsiaTheme="minorEastAsia"/>
                <w:b/>
                <w:bCs/>
              </w:rPr>
            </w:pPr>
            <w:r w:rsidRPr="00DF5FA2">
              <w:rPr>
                <w:rFonts w:eastAsiaTheme="minorEastAsia"/>
                <w:b/>
                <w:bCs/>
              </w:rPr>
              <w:t>(</w:t>
            </w:r>
            <w:r w:rsidR="0050705F" w:rsidRPr="00DF5FA2">
              <w:rPr>
                <w:rFonts w:eastAsiaTheme="minorEastAsia"/>
                <w:b/>
                <w:bCs/>
              </w:rPr>
              <w:t xml:space="preserve">Attendance, </w:t>
            </w:r>
            <w:r w:rsidRPr="00DF5FA2">
              <w:rPr>
                <w:rFonts w:eastAsiaTheme="minorEastAsia"/>
                <w:b/>
                <w:bCs/>
              </w:rPr>
              <w:t>Student Wholeness, College and Career Readiness, Science, Social Studies, etc.)</w:t>
            </w:r>
          </w:p>
        </w:tc>
      </w:tr>
      <w:tr w:rsidR="00C91590" w:rsidRPr="00DF5FA2" w14:paraId="404D266B"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0A0214A" w14:textId="66F43731" w:rsidR="00C91590" w:rsidRPr="00DF5FA2" w:rsidRDefault="00C91590" w:rsidP="00C91590">
            <w:pPr>
              <w:spacing w:line="360" w:lineRule="auto"/>
            </w:pPr>
            <w:r w:rsidRPr="03D22667">
              <w:t>STAR Early Literacy</w:t>
            </w:r>
            <w:r>
              <w:t xml:space="preserve"> Data</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A29E28F" w14:textId="4AFF45EC" w:rsidR="00C91590" w:rsidRPr="00DF5FA2" w:rsidRDefault="00C91590" w:rsidP="00C91590">
            <w:pPr>
              <w:spacing w:line="360" w:lineRule="auto"/>
            </w:pPr>
            <w:r w:rsidRPr="03D22667">
              <w:t>STAR Early Literacy</w:t>
            </w:r>
            <w:r>
              <w:t xml:space="preserve"> Data</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3E55725" w14:textId="40815570" w:rsidR="00C91590" w:rsidRPr="00DF5FA2" w:rsidRDefault="00C91590" w:rsidP="00C91590">
            <w:pPr>
              <w:spacing w:line="360" w:lineRule="auto"/>
            </w:pPr>
            <w:r w:rsidRPr="03D22667">
              <w:t>Attendance</w:t>
            </w:r>
            <w:r>
              <w:t xml:space="preserve"> Data</w:t>
            </w:r>
          </w:p>
        </w:tc>
      </w:tr>
      <w:tr w:rsidR="00E34742" w:rsidRPr="00DF5FA2" w14:paraId="3520780A"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AC7BA00" w14:textId="60F598FB" w:rsidR="00E34742" w:rsidRPr="00DF5FA2" w:rsidRDefault="00E34742" w:rsidP="00E34742">
            <w:pPr>
              <w:spacing w:line="360" w:lineRule="auto"/>
            </w:pPr>
            <w:r>
              <w:t>MCAP Data</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B3777C2" w14:textId="702A4ECD" w:rsidR="00E34742" w:rsidRPr="00DF5FA2" w:rsidRDefault="00E34742" w:rsidP="00E34742">
            <w:pPr>
              <w:spacing w:line="360" w:lineRule="auto"/>
            </w:pPr>
            <w:r>
              <w:t>MCAP Data</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9F9F45D" w14:textId="2382E8F6" w:rsidR="00E34742" w:rsidRPr="00DF5FA2" w:rsidRDefault="00C53EB7" w:rsidP="00E34742">
            <w:pPr>
              <w:spacing w:line="360" w:lineRule="auto"/>
            </w:pPr>
            <w:r w:rsidRPr="03D22667">
              <w:t>Climate Snapshot Data</w:t>
            </w:r>
          </w:p>
        </w:tc>
      </w:tr>
      <w:tr w:rsidR="00E34742" w:rsidRPr="00DF5FA2" w14:paraId="293E1E9D"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9A9F2D2" w14:textId="1DBD0DD6" w:rsidR="00E34742" w:rsidRPr="00DF5FA2" w:rsidRDefault="00E34742" w:rsidP="00E34742">
            <w:pPr>
              <w:spacing w:line="360" w:lineRule="auto"/>
            </w:pPr>
            <w:r w:rsidRPr="03D22667">
              <w:t>MD Report Card</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7D53E4D" w14:textId="3C51E973" w:rsidR="00E34742" w:rsidRPr="00DF5FA2" w:rsidRDefault="00E34742" w:rsidP="00E34742">
            <w:pPr>
              <w:spacing w:line="360" w:lineRule="auto"/>
            </w:pPr>
            <w:r w:rsidRPr="03D22667">
              <w:t>MD Report Card</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C3EBE9" w14:textId="38C2C817" w:rsidR="00E34742" w:rsidRPr="00DF5FA2" w:rsidRDefault="00E34742" w:rsidP="00E34742">
            <w:pPr>
              <w:spacing w:line="360" w:lineRule="auto"/>
            </w:pPr>
          </w:p>
        </w:tc>
      </w:tr>
      <w:tr w:rsidR="00E34742" w:rsidRPr="00DF5FA2" w14:paraId="6AFF7C05"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F294620" w14:textId="78C884A9" w:rsidR="00E34742" w:rsidRPr="00DF5FA2" w:rsidRDefault="00E34742" w:rsidP="00E34742">
            <w:pPr>
              <w:spacing w:line="360" w:lineRule="auto"/>
            </w:pPr>
            <w:r w:rsidRPr="03D22667">
              <w:t>WIDA Access</w:t>
            </w:r>
            <w:r>
              <w:t xml:space="preserve"> Data</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7D741256" w14:textId="5B30FE34" w:rsidR="00E34742" w:rsidRPr="00DF5FA2" w:rsidRDefault="00E34742" w:rsidP="00E34742">
            <w:pPr>
              <w:spacing w:line="360" w:lineRule="auto"/>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8F06FD7" w14:textId="77777777" w:rsidR="00E34742" w:rsidRPr="00DF5FA2" w:rsidRDefault="00E34742" w:rsidP="00E34742">
            <w:pPr>
              <w:spacing w:line="360" w:lineRule="auto"/>
            </w:pPr>
          </w:p>
        </w:tc>
      </w:tr>
      <w:tr w:rsidR="00E34742" w:rsidRPr="00DF5FA2" w14:paraId="59C307B3"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645C1C0" w14:textId="7BA4B199" w:rsidR="00E34742" w:rsidRPr="00DF5FA2" w:rsidRDefault="00E34742" w:rsidP="00E34742">
            <w:pPr>
              <w:spacing w:line="360" w:lineRule="auto"/>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1D26DF5C" w14:textId="77777777" w:rsidR="00E34742" w:rsidRPr="00DF5FA2" w:rsidRDefault="00E34742" w:rsidP="00E34742">
            <w:pPr>
              <w:spacing w:line="360" w:lineRule="auto"/>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7538284" w14:textId="77777777" w:rsidR="00E34742" w:rsidRPr="00DF5FA2" w:rsidRDefault="00E34742" w:rsidP="00E34742">
            <w:pPr>
              <w:spacing w:line="360" w:lineRule="auto"/>
            </w:pPr>
          </w:p>
        </w:tc>
      </w:tr>
      <w:tr w:rsidR="00E34742" w:rsidRPr="00DF5FA2" w14:paraId="6531BADC"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A0B40B6" w14:textId="77777777" w:rsidR="00E34742" w:rsidRPr="00DF5FA2" w:rsidRDefault="00E34742" w:rsidP="00E34742">
            <w:pPr>
              <w:spacing w:line="360" w:lineRule="auto"/>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CBE4210" w14:textId="77777777" w:rsidR="00E34742" w:rsidRPr="00DF5FA2" w:rsidRDefault="00E34742" w:rsidP="00E34742">
            <w:pPr>
              <w:spacing w:line="360" w:lineRule="auto"/>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9F91F46" w14:textId="77777777" w:rsidR="00E34742" w:rsidRPr="00DF5FA2" w:rsidRDefault="00E34742" w:rsidP="00E34742">
            <w:pPr>
              <w:spacing w:line="360" w:lineRule="auto"/>
            </w:pPr>
          </w:p>
        </w:tc>
      </w:tr>
      <w:tr w:rsidR="00E34742" w:rsidRPr="00DF5FA2" w14:paraId="5FEB99F2"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FDA82A2" w14:textId="77777777" w:rsidR="00E34742" w:rsidRPr="00DF5FA2" w:rsidRDefault="00E34742" w:rsidP="00E34742">
            <w:pPr>
              <w:spacing w:line="360" w:lineRule="auto"/>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CD24C3B" w14:textId="77777777" w:rsidR="00E34742" w:rsidRPr="00DF5FA2" w:rsidRDefault="00E34742" w:rsidP="00E34742">
            <w:pPr>
              <w:spacing w:line="360" w:lineRule="auto"/>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C342EE" w14:textId="77777777" w:rsidR="00E34742" w:rsidRPr="00DF5FA2" w:rsidRDefault="00E34742" w:rsidP="00E34742">
            <w:pPr>
              <w:spacing w:line="360" w:lineRule="auto"/>
            </w:pPr>
          </w:p>
        </w:tc>
      </w:tr>
    </w:tbl>
    <w:p w14:paraId="7AC67604" w14:textId="77777777" w:rsidR="0050705F" w:rsidRPr="00DF5FA2" w:rsidRDefault="0050705F" w:rsidP="0045252B">
      <w:pPr>
        <w:rPr>
          <w:rStyle w:val="Heading1Char"/>
          <w:rFonts w:ascii="Times New Roman" w:hAnsi="Times New Roman" w:cs="Times New Roman"/>
          <w:b/>
        </w:rPr>
      </w:pPr>
      <w:bookmarkStart w:id="5" w:name="_Toc513012679"/>
    </w:p>
    <w:p w14:paraId="69A32F6E" w14:textId="77777777" w:rsidR="0050705F" w:rsidRPr="00DF5FA2" w:rsidRDefault="0050705F">
      <w:pPr>
        <w:rPr>
          <w:rStyle w:val="Heading1Char"/>
          <w:rFonts w:ascii="Times New Roman" w:hAnsi="Times New Roman" w:cs="Times New Roman"/>
          <w:b/>
        </w:rPr>
      </w:pPr>
      <w:r w:rsidRPr="00DF5FA2">
        <w:rPr>
          <w:rStyle w:val="Heading1Char"/>
          <w:rFonts w:ascii="Times New Roman" w:hAnsi="Times New Roman" w:cs="Times New Roman"/>
          <w:b/>
        </w:rPr>
        <w:br w:type="page"/>
      </w:r>
    </w:p>
    <w:p w14:paraId="31EB31FD" w14:textId="2AAA7DA7" w:rsidR="00B33910" w:rsidRPr="00DF5FA2" w:rsidRDefault="00374B6B" w:rsidP="0045252B">
      <w:pPr>
        <w:rPr>
          <w:rStyle w:val="Heading1Char"/>
          <w:rFonts w:ascii="Times New Roman" w:eastAsiaTheme="minorEastAsia" w:hAnsi="Times New Roman" w:cs="Times New Roman"/>
          <w:bCs/>
          <w:iCs/>
          <w:sz w:val="22"/>
          <w:szCs w:val="22"/>
        </w:rPr>
      </w:pPr>
      <w:r w:rsidRPr="00DF5FA2">
        <w:rPr>
          <w:rStyle w:val="Heading1Char"/>
          <w:rFonts w:ascii="Times New Roman" w:hAnsi="Times New Roman" w:cs="Times New Roman"/>
          <w:b/>
          <w:sz w:val="28"/>
          <w:szCs w:val="28"/>
        </w:rPr>
        <w:lastRenderedPageBreak/>
        <w:t>b.</w:t>
      </w:r>
      <w:r w:rsidR="00B33910" w:rsidRPr="00DF5FA2">
        <w:rPr>
          <w:rStyle w:val="Heading1Char"/>
          <w:rFonts w:ascii="Times New Roman" w:hAnsi="Times New Roman" w:cs="Times New Roman"/>
          <w:b/>
          <w:sz w:val="28"/>
          <w:szCs w:val="28"/>
        </w:rPr>
        <w:t xml:space="preserve"> Identified Prioritized Needs for SY2</w:t>
      </w:r>
      <w:r w:rsidR="0050705F" w:rsidRPr="00DF5FA2">
        <w:rPr>
          <w:rStyle w:val="Heading1Char"/>
          <w:rFonts w:ascii="Times New Roman" w:hAnsi="Times New Roman" w:cs="Times New Roman"/>
          <w:b/>
          <w:sz w:val="28"/>
          <w:szCs w:val="28"/>
        </w:rPr>
        <w:t>4</w:t>
      </w:r>
      <w:r w:rsidR="00B33910" w:rsidRPr="00DF5FA2">
        <w:rPr>
          <w:rStyle w:val="Heading1Char"/>
          <w:rFonts w:ascii="Times New Roman" w:hAnsi="Times New Roman" w:cs="Times New Roman"/>
          <w:b/>
          <w:sz w:val="28"/>
          <w:szCs w:val="28"/>
        </w:rPr>
        <w:t>-2</w:t>
      </w:r>
      <w:r w:rsidR="0050705F" w:rsidRPr="00DF5FA2">
        <w:rPr>
          <w:rStyle w:val="Heading1Char"/>
          <w:rFonts w:ascii="Times New Roman" w:hAnsi="Times New Roman" w:cs="Times New Roman"/>
          <w:b/>
          <w:sz w:val="28"/>
          <w:szCs w:val="28"/>
        </w:rPr>
        <w:t>5</w:t>
      </w:r>
      <w:r w:rsidR="00B33910" w:rsidRPr="00DF5FA2">
        <w:rPr>
          <w:rStyle w:val="Heading1Char"/>
          <w:rFonts w:ascii="Times New Roman" w:hAnsi="Times New Roman" w:cs="Times New Roman"/>
          <w:b/>
          <w:sz w:val="28"/>
          <w:szCs w:val="28"/>
        </w:rPr>
        <w:t>:</w:t>
      </w:r>
      <w:bookmarkEnd w:id="5"/>
      <w:r w:rsidR="00B33910" w:rsidRPr="00DF5FA2">
        <w:rPr>
          <w:rFonts w:eastAsiaTheme="minorEastAsia"/>
          <w:b/>
          <w:bCs/>
          <w:color w:val="2F5496" w:themeColor="accent1" w:themeShade="BF"/>
          <w:sz w:val="36"/>
          <w:szCs w:val="32"/>
        </w:rPr>
        <w:t xml:space="preserve"> </w:t>
      </w:r>
      <w:r w:rsidR="00B33910" w:rsidRPr="00DF5FA2">
        <w:rPr>
          <w:rFonts w:eastAsiaTheme="minorEastAsia"/>
          <w:bCs/>
          <w:iCs/>
          <w:color w:val="2F5496" w:themeColor="accent1" w:themeShade="BF"/>
        </w:rPr>
        <w:t xml:space="preserve">Through the needs assessment, </w:t>
      </w:r>
      <w:r w:rsidR="00B33910" w:rsidRPr="00DF5FA2">
        <w:rPr>
          <w:rFonts w:eastAsiaTheme="minorEastAsia"/>
          <w:bCs/>
          <w:iCs/>
          <w:color w:val="2F5496" w:themeColor="accent1" w:themeShade="BF"/>
          <w:u w:val="single"/>
        </w:rPr>
        <w:t>a school must consult with a broad range of stakeholders</w:t>
      </w:r>
      <w:r w:rsidR="00B33910" w:rsidRPr="00DF5FA2">
        <w:rPr>
          <w:rFonts w:eastAsiaTheme="minorEastAsia"/>
          <w:bCs/>
          <w:iCs/>
          <w:color w:val="2F5496" w:themeColor="accent1" w:themeShade="BF"/>
        </w:rPr>
        <w:t xml:space="preserve"> and </w:t>
      </w:r>
      <w:r w:rsidR="00B33910" w:rsidRPr="00DF5FA2">
        <w:rPr>
          <w:rFonts w:eastAsiaTheme="minorEastAsia"/>
          <w:bCs/>
          <w:iCs/>
          <w:color w:val="2F5496" w:themeColor="accent1" w:themeShade="BF"/>
          <w:u w:val="single"/>
        </w:rPr>
        <w:t xml:space="preserve">examine relevant academic achievement </w:t>
      </w:r>
      <w:r w:rsidR="00B33910" w:rsidRPr="00DF5FA2">
        <w:rPr>
          <w:rFonts w:eastAsiaTheme="minorEastAsia"/>
          <w:iCs/>
          <w:color w:val="2F5496" w:themeColor="accent1" w:themeShade="BF"/>
          <w:u w:val="single"/>
        </w:rPr>
        <w:t>data</w:t>
      </w:r>
      <w:r w:rsidR="00B33910" w:rsidRPr="00DF5FA2">
        <w:rPr>
          <w:rFonts w:eastAsiaTheme="minorEastAsia"/>
          <w:iCs/>
          <w:color w:val="2F5496" w:themeColor="accent1" w:themeShade="BF"/>
        </w:rPr>
        <w:t xml:space="preserve"> to </w:t>
      </w:r>
      <w:r w:rsidR="00B33910" w:rsidRPr="00DF5FA2">
        <w:rPr>
          <w:rFonts w:eastAsiaTheme="minorEastAsia"/>
          <w:iCs/>
          <w:color w:val="2F5496" w:themeColor="accent1" w:themeShade="BF"/>
          <w:u w:val="single"/>
        </w:rPr>
        <w:t>understand students’ most pressing needs</w:t>
      </w:r>
      <w:r w:rsidR="00B33910" w:rsidRPr="00DF5FA2">
        <w:rPr>
          <w:rFonts w:eastAsiaTheme="minorEastAsia"/>
          <w:iCs/>
          <w:color w:val="2F5496" w:themeColor="accent1" w:themeShade="BF"/>
        </w:rPr>
        <w:t xml:space="preserve"> and their root causes.</w:t>
      </w:r>
      <w:r w:rsidR="00B33910" w:rsidRPr="00DF5FA2">
        <w:rPr>
          <w:rFonts w:eastAsiaTheme="minorEastAsia"/>
          <w:bCs/>
          <w:iCs/>
          <w:color w:val="2F5496" w:themeColor="accent1" w:themeShade="BF"/>
        </w:rPr>
        <w:t xml:space="preserve"> </w:t>
      </w:r>
      <w:r w:rsidR="00B33910" w:rsidRPr="00DF5FA2">
        <w:rPr>
          <w:rFonts w:eastAsiaTheme="minorEastAsia"/>
          <w:bCs/>
          <w:i/>
          <w:color w:val="2F5496" w:themeColor="accent1" w:themeShade="BF"/>
        </w:rPr>
        <w:t>(ES</w:t>
      </w:r>
      <w:r w:rsidR="0045252B" w:rsidRPr="00DF5FA2">
        <w:rPr>
          <w:rFonts w:eastAsiaTheme="minorEastAsia"/>
          <w:bCs/>
          <w:i/>
          <w:color w:val="2F5496" w:themeColor="accent1" w:themeShade="BF"/>
        </w:rPr>
        <w:t>E</w:t>
      </w:r>
      <w:r w:rsidR="00B33910" w:rsidRPr="00DF5FA2">
        <w:rPr>
          <w:rFonts w:eastAsiaTheme="minorEastAsia"/>
          <w:bCs/>
          <w:i/>
          <w:color w:val="2F5496" w:themeColor="accent1" w:themeShade="BF"/>
        </w:rPr>
        <w:t>A section 1114(b)(2); 34 C.F.R. § 200.26(a)).</w:t>
      </w:r>
      <w:r w:rsidR="0050705F" w:rsidRPr="00DF5FA2">
        <w:rPr>
          <w:rFonts w:eastAsiaTheme="minorEastAsia"/>
          <w:bCs/>
          <w:i/>
          <w:color w:val="2F5496" w:themeColor="accent1" w:themeShade="BF"/>
        </w:rPr>
        <w:t xml:space="preserve"> </w:t>
      </w:r>
      <w:r w:rsidR="00B33910" w:rsidRPr="00DF5FA2">
        <w:rPr>
          <w:rStyle w:val="Heading1Char"/>
          <w:rFonts w:ascii="Times New Roman" w:hAnsi="Times New Roman" w:cs="Times New Roman"/>
          <w:bCs/>
          <w:iCs/>
          <w:sz w:val="22"/>
          <w:szCs w:val="22"/>
        </w:rPr>
        <w:t>Where necessary, a school should attempt to engage in interviews, focus groups, or surveys, as well as review data on students, educators, and schools to gain a better understanding of the root causes of the identified needs.</w:t>
      </w:r>
      <w:r w:rsidR="00B33910" w:rsidRPr="00DF5FA2">
        <w:rPr>
          <w:rStyle w:val="Heading1Char"/>
          <w:rFonts w:ascii="Times New Roman" w:hAnsi="Times New Roman" w:cs="Times New Roman"/>
          <w:iCs/>
          <w:sz w:val="22"/>
          <w:szCs w:val="22"/>
        </w:rPr>
        <w:t xml:space="preserve"> </w:t>
      </w:r>
      <w:r w:rsidR="00B33910" w:rsidRPr="00DF5FA2">
        <w:rPr>
          <w:rStyle w:val="Heading1Char"/>
          <w:rFonts w:ascii="Times New Roman" w:hAnsi="Times New Roman" w:cs="Times New Roman"/>
          <w:i/>
          <w:sz w:val="22"/>
          <w:szCs w:val="22"/>
        </w:rPr>
        <w:t>(Supporting School Reform by Leveraging Federal Funds in a Schoolwide Program Non-Regulatory Guidance, September 2016)</w:t>
      </w:r>
    </w:p>
    <w:p w14:paraId="5EFD9BBE" w14:textId="77777777" w:rsidR="0045252B" w:rsidRPr="00DF5FA2" w:rsidRDefault="0045252B" w:rsidP="0045252B">
      <w:pPr>
        <w:rPr>
          <w:rFonts w:eastAsiaTheme="minorEastAsia"/>
          <w:bCs/>
          <w:i/>
          <w:color w:val="2F5496" w:themeColor="accent1" w:themeShade="BF"/>
        </w:rPr>
      </w:pPr>
    </w:p>
    <w:tbl>
      <w:tblPr>
        <w:tblStyle w:val="TableGrid"/>
        <w:tblW w:w="13821" w:type="dxa"/>
        <w:tblInd w:w="-635" w:type="dxa"/>
        <w:tblLook w:val="04A0" w:firstRow="1" w:lastRow="0" w:firstColumn="1" w:lastColumn="0" w:noHBand="0" w:noVBand="1"/>
      </w:tblPr>
      <w:tblGrid>
        <w:gridCol w:w="1980"/>
        <w:gridCol w:w="4479"/>
        <w:gridCol w:w="3400"/>
        <w:gridCol w:w="3962"/>
      </w:tblGrid>
      <w:tr w:rsidR="00B33910" w:rsidRPr="00DF5FA2" w14:paraId="1E953C16" w14:textId="77777777" w:rsidTr="00686958">
        <w:trPr>
          <w:trHeight w:val="683"/>
        </w:trPr>
        <w:tc>
          <w:tcPr>
            <w:tcW w:w="1980" w:type="dxa"/>
            <w:shd w:val="clear" w:color="auto" w:fill="DEEAF6" w:themeFill="accent5" w:themeFillTint="33"/>
          </w:tcPr>
          <w:p w14:paraId="26E97614" w14:textId="77777777" w:rsidR="00B33910" w:rsidRPr="00DF5FA2" w:rsidRDefault="00B33910" w:rsidP="006E0337">
            <w:pPr>
              <w:rPr>
                <w:b/>
                <w:sz w:val="28"/>
                <w:szCs w:val="28"/>
              </w:rPr>
            </w:pPr>
          </w:p>
        </w:tc>
        <w:tc>
          <w:tcPr>
            <w:tcW w:w="4479" w:type="dxa"/>
            <w:shd w:val="clear" w:color="auto" w:fill="DEEAF6" w:themeFill="accent5" w:themeFillTint="33"/>
          </w:tcPr>
          <w:p w14:paraId="65639576" w14:textId="77777777" w:rsidR="00B33910" w:rsidRPr="00DF5FA2" w:rsidRDefault="00686958" w:rsidP="00686958">
            <w:pPr>
              <w:jc w:val="center"/>
              <w:rPr>
                <w:b/>
                <w:bCs/>
                <w:sz w:val="28"/>
                <w:szCs w:val="28"/>
              </w:rPr>
            </w:pPr>
            <w:r w:rsidRPr="00DF5FA2">
              <w:rPr>
                <w:b/>
                <w:bCs/>
                <w:sz w:val="28"/>
                <w:szCs w:val="28"/>
              </w:rPr>
              <w:t xml:space="preserve">What is the </w:t>
            </w:r>
            <w:r w:rsidR="00B33910" w:rsidRPr="00DF5FA2">
              <w:rPr>
                <w:b/>
                <w:bCs/>
                <w:i/>
                <w:sz w:val="28"/>
                <w:szCs w:val="28"/>
              </w:rPr>
              <w:t>Area of Need</w:t>
            </w:r>
            <w:r w:rsidRPr="00DF5FA2">
              <w:rPr>
                <w:b/>
                <w:bCs/>
                <w:sz w:val="28"/>
                <w:szCs w:val="28"/>
              </w:rPr>
              <w:t xml:space="preserve"> and why was </w:t>
            </w:r>
            <w:r w:rsidR="00374B6B" w:rsidRPr="00DF5FA2">
              <w:rPr>
                <w:b/>
                <w:bCs/>
                <w:sz w:val="28"/>
                <w:szCs w:val="28"/>
              </w:rPr>
              <w:t>i</w:t>
            </w:r>
            <w:r w:rsidR="00374B6B" w:rsidRPr="00DF5FA2">
              <w:rPr>
                <w:bCs/>
                <w:sz w:val="28"/>
                <w:szCs w:val="28"/>
              </w:rPr>
              <w:t xml:space="preserve">t </w:t>
            </w:r>
            <w:r w:rsidRPr="00DF5FA2">
              <w:rPr>
                <w:b/>
                <w:bCs/>
                <w:sz w:val="28"/>
                <w:szCs w:val="28"/>
              </w:rPr>
              <w:t>selected?</w:t>
            </w:r>
          </w:p>
        </w:tc>
        <w:tc>
          <w:tcPr>
            <w:tcW w:w="3400" w:type="dxa"/>
            <w:shd w:val="clear" w:color="auto" w:fill="DEEAF6" w:themeFill="accent5" w:themeFillTint="33"/>
          </w:tcPr>
          <w:p w14:paraId="3869B28C" w14:textId="77777777" w:rsidR="00B33910" w:rsidRPr="00DF5FA2" w:rsidRDefault="00B33910" w:rsidP="006E0337">
            <w:pPr>
              <w:jc w:val="center"/>
              <w:rPr>
                <w:b/>
                <w:bCs/>
                <w:sz w:val="28"/>
                <w:szCs w:val="28"/>
              </w:rPr>
            </w:pPr>
            <w:r w:rsidRPr="00DF5FA2">
              <w:rPr>
                <w:b/>
                <w:bCs/>
                <w:sz w:val="28"/>
                <w:szCs w:val="28"/>
              </w:rPr>
              <w:t>Data to Support</w:t>
            </w:r>
          </w:p>
        </w:tc>
        <w:tc>
          <w:tcPr>
            <w:tcW w:w="3962" w:type="dxa"/>
            <w:shd w:val="clear" w:color="auto" w:fill="DEEAF6" w:themeFill="accent5" w:themeFillTint="33"/>
          </w:tcPr>
          <w:p w14:paraId="49F3872A" w14:textId="77777777" w:rsidR="00B33910" w:rsidRPr="00DF5FA2" w:rsidRDefault="00B33910" w:rsidP="006E0337">
            <w:pPr>
              <w:jc w:val="center"/>
              <w:rPr>
                <w:b/>
                <w:bCs/>
                <w:sz w:val="28"/>
                <w:szCs w:val="28"/>
              </w:rPr>
            </w:pPr>
            <w:r w:rsidRPr="00DF5FA2">
              <w:rPr>
                <w:b/>
                <w:bCs/>
                <w:sz w:val="28"/>
                <w:szCs w:val="28"/>
              </w:rPr>
              <w:t>What is the root cause of the identified need?</w:t>
            </w:r>
          </w:p>
        </w:tc>
      </w:tr>
      <w:tr w:rsidR="00C91590" w:rsidRPr="00DF5FA2" w14:paraId="0433BBCE" w14:textId="77777777" w:rsidTr="006E0337">
        <w:tc>
          <w:tcPr>
            <w:tcW w:w="1980" w:type="dxa"/>
          </w:tcPr>
          <w:p w14:paraId="5E2EEC0F" w14:textId="79D130B0" w:rsidR="00C91590" w:rsidRPr="00DF5FA2" w:rsidRDefault="00C91590" w:rsidP="00C91590">
            <w:pPr>
              <w:rPr>
                <w:b/>
                <w:bCs/>
                <w:sz w:val="28"/>
                <w:szCs w:val="28"/>
              </w:rPr>
            </w:pPr>
            <w:r w:rsidRPr="00DF5FA2">
              <w:rPr>
                <w:b/>
                <w:bCs/>
                <w:sz w:val="28"/>
                <w:szCs w:val="28"/>
              </w:rPr>
              <w:t>Literacy:</w:t>
            </w:r>
          </w:p>
          <w:p w14:paraId="4922F402" w14:textId="77777777" w:rsidR="00C91590" w:rsidRPr="00DF5FA2" w:rsidRDefault="00C91590" w:rsidP="00C91590">
            <w:pPr>
              <w:rPr>
                <w:b/>
                <w:bCs/>
                <w:sz w:val="28"/>
                <w:szCs w:val="28"/>
              </w:rPr>
            </w:pPr>
          </w:p>
          <w:p w14:paraId="5CF7D488" w14:textId="77777777" w:rsidR="00C91590" w:rsidRPr="00DF5FA2" w:rsidRDefault="00C91590" w:rsidP="00C91590">
            <w:pPr>
              <w:rPr>
                <w:b/>
                <w:bCs/>
                <w:sz w:val="28"/>
                <w:szCs w:val="28"/>
              </w:rPr>
            </w:pPr>
          </w:p>
        </w:tc>
        <w:tc>
          <w:tcPr>
            <w:tcW w:w="4479" w:type="dxa"/>
          </w:tcPr>
          <w:p w14:paraId="2AA13D26" w14:textId="532EF160" w:rsidR="00C91590" w:rsidRPr="00B130C5" w:rsidRDefault="007364C7" w:rsidP="00C91590">
            <w:pPr>
              <w:rPr>
                <w:sz w:val="21"/>
                <w:szCs w:val="21"/>
              </w:rPr>
            </w:pPr>
            <w:r w:rsidRPr="00B130C5">
              <w:rPr>
                <w:sz w:val="21"/>
                <w:szCs w:val="21"/>
              </w:rPr>
              <w:t xml:space="preserve">Foundational Literacy Skills and Reading Comprehension </w:t>
            </w:r>
          </w:p>
        </w:tc>
        <w:tc>
          <w:tcPr>
            <w:tcW w:w="3400" w:type="dxa"/>
          </w:tcPr>
          <w:p w14:paraId="3080DD32" w14:textId="129DAB8F" w:rsidR="00100AE1" w:rsidRPr="00B130C5" w:rsidRDefault="00100AE1" w:rsidP="00C91590">
            <w:pPr>
              <w:rPr>
                <w:sz w:val="21"/>
                <w:szCs w:val="21"/>
              </w:rPr>
            </w:pPr>
            <w:r w:rsidRPr="00B130C5">
              <w:rPr>
                <w:sz w:val="21"/>
                <w:szCs w:val="21"/>
              </w:rPr>
              <w:t>At SY23-24 MOY Star Literacy CBM Testing, only 65% of K-2</w:t>
            </w:r>
            <w:r w:rsidRPr="00B130C5">
              <w:rPr>
                <w:sz w:val="21"/>
                <w:szCs w:val="21"/>
                <w:vertAlign w:val="superscript"/>
              </w:rPr>
              <w:t>nd</w:t>
            </w:r>
            <w:r w:rsidRPr="00B130C5">
              <w:rPr>
                <w:sz w:val="21"/>
                <w:szCs w:val="21"/>
              </w:rPr>
              <w:t xml:space="preserve"> grade students were proficient with “Letter Names” and only 63% of K-2</w:t>
            </w:r>
            <w:r w:rsidRPr="00B130C5">
              <w:rPr>
                <w:sz w:val="21"/>
                <w:szCs w:val="21"/>
                <w:vertAlign w:val="superscript"/>
              </w:rPr>
              <w:t>nd</w:t>
            </w:r>
            <w:r w:rsidRPr="00B130C5">
              <w:rPr>
                <w:sz w:val="21"/>
                <w:szCs w:val="21"/>
              </w:rPr>
              <w:t xml:space="preserve"> grade students were proficient with “Letter Sounds.”</w:t>
            </w:r>
          </w:p>
          <w:p w14:paraId="4CB62B63" w14:textId="67C94C4C" w:rsidR="007364C7" w:rsidRPr="00B130C5" w:rsidRDefault="00100AE1" w:rsidP="00C91590">
            <w:pPr>
              <w:rPr>
                <w:sz w:val="21"/>
                <w:szCs w:val="21"/>
              </w:rPr>
            </w:pPr>
            <w:r w:rsidRPr="00B130C5">
              <w:rPr>
                <w:sz w:val="21"/>
                <w:szCs w:val="21"/>
              </w:rPr>
              <w:t xml:space="preserve"> </w:t>
            </w:r>
          </w:p>
          <w:p w14:paraId="06B3A92F" w14:textId="136FF2B4" w:rsidR="00C91590" w:rsidRPr="00B130C5" w:rsidRDefault="007364C7" w:rsidP="00C91590">
            <w:pPr>
              <w:rPr>
                <w:sz w:val="21"/>
                <w:szCs w:val="21"/>
              </w:rPr>
            </w:pPr>
            <w:r w:rsidRPr="00B130C5">
              <w:rPr>
                <w:sz w:val="21"/>
                <w:szCs w:val="21"/>
              </w:rPr>
              <w:t>In SY 22-23, only 19% of 3</w:t>
            </w:r>
            <w:r w:rsidRPr="00B130C5">
              <w:rPr>
                <w:sz w:val="21"/>
                <w:szCs w:val="21"/>
                <w:vertAlign w:val="superscript"/>
              </w:rPr>
              <w:t>rd</w:t>
            </w:r>
            <w:r w:rsidRPr="00B130C5">
              <w:rPr>
                <w:sz w:val="21"/>
                <w:szCs w:val="21"/>
              </w:rPr>
              <w:t xml:space="preserve"> and 4</w:t>
            </w:r>
            <w:r w:rsidRPr="00B130C5">
              <w:rPr>
                <w:sz w:val="21"/>
                <w:szCs w:val="21"/>
                <w:vertAlign w:val="superscript"/>
              </w:rPr>
              <w:t>th</w:t>
            </w:r>
            <w:r w:rsidRPr="00B130C5">
              <w:rPr>
                <w:sz w:val="21"/>
                <w:szCs w:val="21"/>
              </w:rPr>
              <w:t xml:space="preserve"> grade students were proficient on MCAP Reading.</w:t>
            </w:r>
          </w:p>
        </w:tc>
        <w:tc>
          <w:tcPr>
            <w:tcW w:w="3962" w:type="dxa"/>
          </w:tcPr>
          <w:p w14:paraId="5D50EA27" w14:textId="09F2E762" w:rsidR="00C91590" w:rsidRPr="00B130C5" w:rsidRDefault="00100AE1" w:rsidP="00C91590">
            <w:pPr>
              <w:rPr>
                <w:sz w:val="21"/>
                <w:szCs w:val="21"/>
                <w:highlight w:val="yellow"/>
              </w:rPr>
            </w:pPr>
            <w:r w:rsidRPr="00B130C5">
              <w:rPr>
                <w:sz w:val="21"/>
                <w:szCs w:val="21"/>
              </w:rPr>
              <w:t xml:space="preserve">Lack of proficiency in foundational literacy skills due to interrupted education and a significant number of students learning English as a second language. </w:t>
            </w:r>
          </w:p>
        </w:tc>
      </w:tr>
      <w:tr w:rsidR="00C91590" w:rsidRPr="00DF5FA2" w14:paraId="1D65E4FD" w14:textId="77777777" w:rsidTr="00766579">
        <w:trPr>
          <w:trHeight w:val="845"/>
        </w:trPr>
        <w:tc>
          <w:tcPr>
            <w:tcW w:w="1980" w:type="dxa"/>
          </w:tcPr>
          <w:p w14:paraId="4FB874F3" w14:textId="0E84056F" w:rsidR="00C91590" w:rsidRPr="00DF5FA2" w:rsidRDefault="00C91590" w:rsidP="00C91590">
            <w:pPr>
              <w:rPr>
                <w:b/>
                <w:bCs/>
                <w:sz w:val="28"/>
                <w:szCs w:val="28"/>
              </w:rPr>
            </w:pPr>
            <w:r w:rsidRPr="00DF5FA2">
              <w:rPr>
                <w:b/>
                <w:bCs/>
                <w:sz w:val="28"/>
                <w:szCs w:val="28"/>
              </w:rPr>
              <w:t>Math:</w:t>
            </w:r>
          </w:p>
        </w:tc>
        <w:tc>
          <w:tcPr>
            <w:tcW w:w="4479" w:type="dxa"/>
          </w:tcPr>
          <w:p w14:paraId="726B6112" w14:textId="1074ABF8" w:rsidR="00C91590" w:rsidRPr="00B130C5" w:rsidRDefault="00100AE1" w:rsidP="00C91590">
            <w:pPr>
              <w:rPr>
                <w:sz w:val="21"/>
                <w:szCs w:val="21"/>
              </w:rPr>
            </w:pPr>
            <w:r w:rsidRPr="00B130C5">
              <w:rPr>
                <w:sz w:val="21"/>
                <w:szCs w:val="21"/>
              </w:rPr>
              <w:t>Foundational Math Skills and Problem Solving</w:t>
            </w:r>
          </w:p>
        </w:tc>
        <w:tc>
          <w:tcPr>
            <w:tcW w:w="3400" w:type="dxa"/>
          </w:tcPr>
          <w:p w14:paraId="50A960C7" w14:textId="08E30230" w:rsidR="00100AE1" w:rsidRPr="00B130C5" w:rsidRDefault="00100AE1" w:rsidP="00100AE1">
            <w:pPr>
              <w:rPr>
                <w:sz w:val="21"/>
                <w:szCs w:val="21"/>
              </w:rPr>
            </w:pPr>
            <w:r w:rsidRPr="00B130C5">
              <w:rPr>
                <w:sz w:val="21"/>
                <w:szCs w:val="21"/>
              </w:rPr>
              <w:t xml:space="preserve">At SY23-24 MOY Star </w:t>
            </w:r>
            <w:r w:rsidRPr="00B130C5">
              <w:rPr>
                <w:sz w:val="21"/>
                <w:szCs w:val="21"/>
              </w:rPr>
              <w:t>Math</w:t>
            </w:r>
            <w:r w:rsidRPr="00B130C5">
              <w:rPr>
                <w:sz w:val="21"/>
                <w:szCs w:val="21"/>
              </w:rPr>
              <w:t xml:space="preserve"> CBM Testing, only </w:t>
            </w:r>
            <w:r w:rsidRPr="00B130C5">
              <w:rPr>
                <w:sz w:val="21"/>
                <w:szCs w:val="21"/>
              </w:rPr>
              <w:t>44</w:t>
            </w:r>
            <w:r w:rsidRPr="00B130C5">
              <w:rPr>
                <w:sz w:val="21"/>
                <w:szCs w:val="21"/>
              </w:rPr>
              <w:t xml:space="preserve">% of </w:t>
            </w:r>
            <w:proofErr w:type="gramStart"/>
            <w:r w:rsidRPr="00B130C5">
              <w:rPr>
                <w:sz w:val="21"/>
                <w:szCs w:val="21"/>
              </w:rPr>
              <w:t>Kindergarten</w:t>
            </w:r>
            <w:proofErr w:type="gramEnd"/>
            <w:r w:rsidRPr="00B130C5">
              <w:rPr>
                <w:sz w:val="21"/>
                <w:szCs w:val="21"/>
              </w:rPr>
              <w:t xml:space="preserve"> students were proficient with “</w:t>
            </w:r>
            <w:r w:rsidRPr="00B130C5">
              <w:rPr>
                <w:sz w:val="21"/>
                <w:szCs w:val="21"/>
              </w:rPr>
              <w:t>Numeral Recognition</w:t>
            </w:r>
            <w:r w:rsidRPr="00B130C5">
              <w:rPr>
                <w:sz w:val="21"/>
                <w:szCs w:val="21"/>
              </w:rPr>
              <w:t>” and only 63% of K-</w:t>
            </w:r>
            <w:r w:rsidRPr="00B130C5">
              <w:rPr>
                <w:sz w:val="21"/>
                <w:szCs w:val="21"/>
              </w:rPr>
              <w:t>1</w:t>
            </w:r>
            <w:r w:rsidRPr="00B130C5">
              <w:rPr>
                <w:sz w:val="21"/>
                <w:szCs w:val="21"/>
                <w:vertAlign w:val="superscript"/>
              </w:rPr>
              <w:t>st</w:t>
            </w:r>
            <w:r w:rsidRPr="00B130C5">
              <w:rPr>
                <w:sz w:val="21"/>
                <w:szCs w:val="21"/>
              </w:rPr>
              <w:t xml:space="preserve"> grade</w:t>
            </w:r>
            <w:r w:rsidRPr="00B130C5">
              <w:rPr>
                <w:sz w:val="21"/>
                <w:szCs w:val="21"/>
              </w:rPr>
              <w:t xml:space="preserve"> students were proficient with “</w:t>
            </w:r>
            <w:r w:rsidRPr="00B130C5">
              <w:rPr>
                <w:sz w:val="21"/>
                <w:szCs w:val="21"/>
              </w:rPr>
              <w:t>Quantity Comparison</w:t>
            </w:r>
            <w:r w:rsidRPr="00B130C5">
              <w:rPr>
                <w:sz w:val="21"/>
                <w:szCs w:val="21"/>
              </w:rPr>
              <w:t>”</w:t>
            </w:r>
            <w:r w:rsidRPr="00B130C5">
              <w:rPr>
                <w:sz w:val="21"/>
                <w:szCs w:val="21"/>
              </w:rPr>
              <w:t xml:space="preserve"> and only 72% of 1</w:t>
            </w:r>
            <w:r w:rsidRPr="00B130C5">
              <w:rPr>
                <w:sz w:val="21"/>
                <w:szCs w:val="21"/>
                <w:vertAlign w:val="superscript"/>
              </w:rPr>
              <w:t>st</w:t>
            </w:r>
            <w:r w:rsidRPr="00B130C5">
              <w:rPr>
                <w:sz w:val="21"/>
                <w:szCs w:val="21"/>
              </w:rPr>
              <w:t>-2</w:t>
            </w:r>
            <w:r w:rsidRPr="00B130C5">
              <w:rPr>
                <w:sz w:val="21"/>
                <w:szCs w:val="21"/>
                <w:vertAlign w:val="superscript"/>
              </w:rPr>
              <w:t>nd</w:t>
            </w:r>
            <w:r w:rsidRPr="00B130C5">
              <w:rPr>
                <w:sz w:val="21"/>
                <w:szCs w:val="21"/>
              </w:rPr>
              <w:t xml:space="preserve"> grade students were proficient with “Addition to 10.”</w:t>
            </w:r>
          </w:p>
          <w:p w14:paraId="51FC2EBE" w14:textId="77777777" w:rsidR="00100AE1" w:rsidRPr="00B130C5" w:rsidRDefault="00100AE1" w:rsidP="007364C7">
            <w:pPr>
              <w:rPr>
                <w:sz w:val="21"/>
                <w:szCs w:val="21"/>
              </w:rPr>
            </w:pPr>
          </w:p>
          <w:p w14:paraId="7E12ECC2" w14:textId="77777777" w:rsidR="00100AE1" w:rsidRPr="00B130C5" w:rsidRDefault="00100AE1" w:rsidP="007364C7">
            <w:pPr>
              <w:rPr>
                <w:sz w:val="21"/>
                <w:szCs w:val="21"/>
              </w:rPr>
            </w:pPr>
          </w:p>
          <w:p w14:paraId="7818CFA5" w14:textId="4D9EE5B4" w:rsidR="00C91590" w:rsidRPr="00B130C5" w:rsidRDefault="007364C7" w:rsidP="00C91590">
            <w:pPr>
              <w:rPr>
                <w:sz w:val="21"/>
                <w:szCs w:val="21"/>
              </w:rPr>
            </w:pPr>
            <w:r w:rsidRPr="00B130C5">
              <w:rPr>
                <w:sz w:val="21"/>
                <w:szCs w:val="21"/>
              </w:rPr>
              <w:t xml:space="preserve">In SY 22-23, only </w:t>
            </w:r>
            <w:r w:rsidRPr="00B130C5">
              <w:rPr>
                <w:sz w:val="21"/>
                <w:szCs w:val="21"/>
              </w:rPr>
              <w:t>7</w:t>
            </w:r>
            <w:r w:rsidRPr="00B130C5">
              <w:rPr>
                <w:sz w:val="21"/>
                <w:szCs w:val="21"/>
              </w:rPr>
              <w:t>% of 3</w:t>
            </w:r>
            <w:r w:rsidRPr="00B130C5">
              <w:rPr>
                <w:sz w:val="21"/>
                <w:szCs w:val="21"/>
                <w:vertAlign w:val="superscript"/>
              </w:rPr>
              <w:t>rd</w:t>
            </w:r>
            <w:r w:rsidRPr="00B130C5">
              <w:rPr>
                <w:sz w:val="21"/>
                <w:szCs w:val="21"/>
              </w:rPr>
              <w:t xml:space="preserve"> and 4</w:t>
            </w:r>
            <w:r w:rsidRPr="00B130C5">
              <w:rPr>
                <w:sz w:val="21"/>
                <w:szCs w:val="21"/>
                <w:vertAlign w:val="superscript"/>
              </w:rPr>
              <w:t>th</w:t>
            </w:r>
            <w:r w:rsidRPr="00B130C5">
              <w:rPr>
                <w:sz w:val="21"/>
                <w:szCs w:val="21"/>
              </w:rPr>
              <w:t xml:space="preserve"> grade students were proficient on MCAP</w:t>
            </w:r>
            <w:r w:rsidRPr="00B130C5">
              <w:rPr>
                <w:sz w:val="21"/>
                <w:szCs w:val="21"/>
              </w:rPr>
              <w:t xml:space="preserve"> Math.</w:t>
            </w:r>
          </w:p>
        </w:tc>
        <w:tc>
          <w:tcPr>
            <w:tcW w:w="3962" w:type="dxa"/>
          </w:tcPr>
          <w:p w14:paraId="6AE2E486" w14:textId="77E264DF" w:rsidR="00C91590" w:rsidRPr="00B130C5" w:rsidRDefault="00100AE1" w:rsidP="00C91590">
            <w:pPr>
              <w:rPr>
                <w:sz w:val="21"/>
                <w:szCs w:val="21"/>
                <w:highlight w:val="yellow"/>
              </w:rPr>
            </w:pPr>
            <w:r w:rsidRPr="00B130C5">
              <w:rPr>
                <w:sz w:val="21"/>
                <w:szCs w:val="21"/>
              </w:rPr>
              <w:t xml:space="preserve">Lack of proficiency in foundational </w:t>
            </w:r>
            <w:r w:rsidRPr="00B130C5">
              <w:rPr>
                <w:sz w:val="21"/>
                <w:szCs w:val="21"/>
              </w:rPr>
              <w:t xml:space="preserve">math </w:t>
            </w:r>
            <w:r w:rsidRPr="00B130C5">
              <w:rPr>
                <w:sz w:val="21"/>
                <w:szCs w:val="21"/>
              </w:rPr>
              <w:t>skills</w:t>
            </w:r>
            <w:r w:rsidR="00964AB2" w:rsidRPr="00B130C5">
              <w:rPr>
                <w:sz w:val="21"/>
                <w:szCs w:val="21"/>
              </w:rPr>
              <w:t>.  Lack of consistent of implementation of</w:t>
            </w:r>
            <w:r w:rsidR="00C53EB7">
              <w:rPr>
                <w:sz w:val="21"/>
                <w:szCs w:val="21"/>
              </w:rPr>
              <w:t xml:space="preserve"> curriculum and</w:t>
            </w:r>
            <w:r w:rsidR="00964AB2" w:rsidRPr="00B130C5">
              <w:rPr>
                <w:sz w:val="21"/>
                <w:szCs w:val="21"/>
              </w:rPr>
              <w:t xml:space="preserve"> math data cycles.  </w:t>
            </w:r>
          </w:p>
        </w:tc>
      </w:tr>
      <w:tr w:rsidR="00C91590" w:rsidRPr="00DF5FA2" w14:paraId="23DE0B15" w14:textId="77777777" w:rsidTr="006E0337">
        <w:trPr>
          <w:trHeight w:val="224"/>
        </w:trPr>
        <w:tc>
          <w:tcPr>
            <w:tcW w:w="1980" w:type="dxa"/>
          </w:tcPr>
          <w:p w14:paraId="690E7E92" w14:textId="77777777" w:rsidR="00C91590" w:rsidRPr="00DF5FA2" w:rsidRDefault="00C91590" w:rsidP="00C91590">
            <w:pPr>
              <w:spacing w:after="160" w:line="259" w:lineRule="auto"/>
              <w:rPr>
                <w:b/>
                <w:bCs/>
                <w:sz w:val="28"/>
                <w:szCs w:val="28"/>
              </w:rPr>
            </w:pPr>
            <w:r w:rsidRPr="00DF5FA2">
              <w:rPr>
                <w:b/>
                <w:bCs/>
                <w:sz w:val="28"/>
                <w:szCs w:val="28"/>
              </w:rPr>
              <w:t>Other:</w:t>
            </w:r>
          </w:p>
          <w:p w14:paraId="6C1A9DDF" w14:textId="77777777" w:rsidR="00C91590" w:rsidRPr="00DF5FA2" w:rsidRDefault="00C91590" w:rsidP="00C91590">
            <w:pPr>
              <w:spacing w:after="160" w:line="259" w:lineRule="auto"/>
              <w:rPr>
                <w:b/>
                <w:bCs/>
                <w:sz w:val="28"/>
                <w:szCs w:val="28"/>
              </w:rPr>
            </w:pPr>
          </w:p>
        </w:tc>
        <w:tc>
          <w:tcPr>
            <w:tcW w:w="4479" w:type="dxa"/>
          </w:tcPr>
          <w:p w14:paraId="5427775C" w14:textId="5419C014" w:rsidR="00C91590" w:rsidRPr="00B130C5" w:rsidRDefault="00964AB2" w:rsidP="00C91590">
            <w:pPr>
              <w:rPr>
                <w:sz w:val="21"/>
                <w:szCs w:val="21"/>
              </w:rPr>
            </w:pPr>
            <w:r w:rsidRPr="00B130C5">
              <w:rPr>
                <w:sz w:val="21"/>
                <w:szCs w:val="21"/>
              </w:rPr>
              <w:t>Chronic Absenteeism</w:t>
            </w:r>
          </w:p>
        </w:tc>
        <w:tc>
          <w:tcPr>
            <w:tcW w:w="3400" w:type="dxa"/>
          </w:tcPr>
          <w:p w14:paraId="091AEE4D" w14:textId="72BF566E" w:rsidR="00C91590" w:rsidRPr="00B130C5" w:rsidRDefault="00964AB2" w:rsidP="00C91590">
            <w:pPr>
              <w:rPr>
                <w:sz w:val="21"/>
                <w:szCs w:val="21"/>
              </w:rPr>
            </w:pPr>
            <w:r w:rsidRPr="00B130C5">
              <w:rPr>
                <w:sz w:val="21"/>
                <w:szCs w:val="21"/>
              </w:rPr>
              <w:t xml:space="preserve">In SY 22-23, </w:t>
            </w:r>
            <w:r w:rsidRPr="00B130C5">
              <w:rPr>
                <w:sz w:val="21"/>
                <w:szCs w:val="21"/>
              </w:rPr>
              <w:t>schoolwide attendance was 91.22%, but 82 students (31%) were chronically absent with 18+ absences.</w:t>
            </w:r>
          </w:p>
        </w:tc>
        <w:tc>
          <w:tcPr>
            <w:tcW w:w="3962" w:type="dxa"/>
          </w:tcPr>
          <w:p w14:paraId="6934A655" w14:textId="4EC26A2C" w:rsidR="00964AB2" w:rsidRPr="00B130C5" w:rsidRDefault="00E34742" w:rsidP="00C91590">
            <w:pPr>
              <w:rPr>
                <w:sz w:val="21"/>
                <w:szCs w:val="21"/>
              </w:rPr>
            </w:pPr>
            <w:r w:rsidRPr="00B130C5">
              <w:rPr>
                <w:sz w:val="21"/>
                <w:szCs w:val="21"/>
              </w:rPr>
              <w:t xml:space="preserve">Student illness and transportation challenges.  </w:t>
            </w:r>
          </w:p>
        </w:tc>
      </w:tr>
    </w:tbl>
    <w:p w14:paraId="6D0B9FD1" w14:textId="3CA7D2A7" w:rsidR="00B33910" w:rsidRPr="00DF5FA2" w:rsidRDefault="00B33910" w:rsidP="00B130C5">
      <w:pPr>
        <w:rPr>
          <w:rFonts w:eastAsiaTheme="minorEastAsia"/>
          <w:b/>
          <w:sz w:val="28"/>
          <w:szCs w:val="28"/>
        </w:rPr>
      </w:pPr>
      <w:bookmarkStart w:id="6" w:name="_Toc513012680"/>
      <w:bookmarkStart w:id="7" w:name="_Toc511652464"/>
      <w:r w:rsidRPr="00DF5FA2">
        <w:rPr>
          <w:rFonts w:eastAsiaTheme="minorEastAsia"/>
          <w:b/>
          <w:sz w:val="28"/>
          <w:szCs w:val="28"/>
        </w:rPr>
        <w:lastRenderedPageBreak/>
        <w:t>II. Component 2: Schoolwide Reform Strategies</w:t>
      </w:r>
      <w:bookmarkEnd w:id="6"/>
      <w:r w:rsidR="002D12FD" w:rsidRPr="00DF5FA2">
        <w:rPr>
          <w:rFonts w:eastAsiaTheme="minorEastAsia"/>
          <w:b/>
          <w:sz w:val="28"/>
          <w:szCs w:val="28"/>
        </w:rPr>
        <w:t>:</w:t>
      </w:r>
    </w:p>
    <w:p w14:paraId="71FF15A6" w14:textId="51AB4D89" w:rsidR="00B33910" w:rsidRPr="00DF5FA2" w:rsidRDefault="00B33910" w:rsidP="00B33910">
      <w:pPr>
        <w:pStyle w:val="ListParagraph"/>
        <w:numPr>
          <w:ilvl w:val="0"/>
          <w:numId w:val="3"/>
        </w:numPr>
        <w:rPr>
          <w:rFonts w:ascii="Times New Roman" w:hAnsi="Times New Roman" w:cs="Times New Roman"/>
          <w:b/>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w:t>
      </w:r>
      <w:r w:rsidR="0050705F" w:rsidRPr="00DF5FA2">
        <w:rPr>
          <w:rFonts w:ascii="Times New Roman" w:hAnsi="Times New Roman" w:cs="Times New Roman"/>
          <w:iCs/>
          <w:color w:val="2F5496" w:themeColor="accent1" w:themeShade="BF"/>
          <w:sz w:val="22"/>
          <w:szCs w:val="22"/>
        </w:rPr>
        <w:t>p</w:t>
      </w:r>
      <w:r w:rsidRPr="00DF5FA2">
        <w:rPr>
          <w:rFonts w:ascii="Times New Roman" w:hAnsi="Times New Roman" w:cs="Times New Roman"/>
          <w:iCs/>
          <w:color w:val="2F5496" w:themeColor="accent1" w:themeShade="BF"/>
          <w:sz w:val="22"/>
          <w:szCs w:val="22"/>
        </w:rPr>
        <w:t xml:space="preserve">lan </w:t>
      </w:r>
      <w:r w:rsidR="0050705F" w:rsidRPr="00DF5FA2">
        <w:rPr>
          <w:rFonts w:ascii="Times New Roman" w:hAnsi="Times New Roman" w:cs="Times New Roman"/>
          <w:iCs/>
          <w:color w:val="2F5496" w:themeColor="accent1" w:themeShade="BF"/>
          <w:sz w:val="22"/>
          <w:szCs w:val="22"/>
        </w:rPr>
        <w:t xml:space="preserve">must </w:t>
      </w:r>
      <w:r w:rsidRPr="00DF5FA2">
        <w:rPr>
          <w:rFonts w:ascii="Times New Roman" w:hAnsi="Times New Roman" w:cs="Times New Roman"/>
          <w:iCs/>
          <w:color w:val="2F5496" w:themeColor="accent1" w:themeShade="BF"/>
          <w:sz w:val="22"/>
          <w:szCs w:val="22"/>
        </w:rPr>
        <w:t xml:space="preserve">describe </w:t>
      </w:r>
      <w:r w:rsidRPr="00DF5FA2">
        <w:rPr>
          <w:rFonts w:ascii="Times New Roman" w:hAnsi="Times New Roman" w:cs="Times New Roman"/>
          <w:b/>
          <w:bCs/>
          <w:iCs/>
          <w:color w:val="2F5496" w:themeColor="accent1" w:themeShade="BF"/>
          <w:sz w:val="22"/>
          <w:szCs w:val="22"/>
        </w:rPr>
        <w:t>how the school will improve academic achievement</w:t>
      </w:r>
      <w:r w:rsidRPr="00DF5FA2">
        <w:rPr>
          <w:rFonts w:ascii="Times New Roman" w:hAnsi="Times New Roman" w:cs="Times New Roman"/>
          <w:iCs/>
          <w:color w:val="2F5496" w:themeColor="accent1" w:themeShade="BF"/>
          <w:sz w:val="22"/>
          <w:szCs w:val="22"/>
        </w:rPr>
        <w:t xml:space="preserve"> throughout the school, but particularly for the lowest-achieving students, by </w:t>
      </w:r>
      <w:r w:rsidRPr="00DF5FA2">
        <w:rPr>
          <w:rFonts w:ascii="Times New Roman" w:hAnsi="Times New Roman" w:cs="Times New Roman"/>
          <w:b/>
          <w:iCs/>
          <w:color w:val="2F5496" w:themeColor="accent1" w:themeShade="BF"/>
          <w:sz w:val="22"/>
          <w:szCs w:val="22"/>
        </w:rPr>
        <w:t>addressing the needs identified in the comprehensive needs’ assessment</w:t>
      </w:r>
      <w:bookmarkEnd w:id="7"/>
      <w:r w:rsidRPr="00DF5FA2">
        <w:rPr>
          <w:rFonts w:ascii="Times New Roman" w:hAnsi="Times New Roman" w:cs="Times New Roman"/>
          <w:b/>
          <w:iCs/>
          <w:color w:val="2F5496" w:themeColor="accent1" w:themeShade="BF"/>
          <w:sz w:val="22"/>
          <w:szCs w:val="22"/>
        </w:rPr>
        <w:t>.</w:t>
      </w:r>
    </w:p>
    <w:p w14:paraId="641592E9" w14:textId="77777777" w:rsidR="0050705F" w:rsidRPr="00DF5FA2" w:rsidRDefault="00B33910" w:rsidP="00B33910">
      <w:pPr>
        <w:pStyle w:val="ListParagraph"/>
        <w:numPr>
          <w:ilvl w:val="0"/>
          <w:numId w:val="3"/>
        </w:numPr>
        <w:rPr>
          <w:rFonts w:ascii="Times New Roman" w:hAnsi="Times New Roman" w:cs="Times New Roman"/>
          <w:i/>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plan must also contain </w:t>
      </w:r>
      <w:r w:rsidRPr="00DF5FA2">
        <w:rPr>
          <w:rFonts w:ascii="Times New Roman" w:hAnsi="Times New Roman" w:cs="Times New Roman"/>
          <w:iCs/>
          <w:color w:val="2F5496" w:themeColor="accent1" w:themeShade="BF"/>
          <w:sz w:val="22"/>
          <w:szCs w:val="22"/>
          <w:u w:val="single"/>
        </w:rPr>
        <w:t>descriptions of how the methods and instructional strategies that the school intends to use will strengthen the academic program in the school</w:t>
      </w:r>
      <w:r w:rsidRPr="00DF5FA2">
        <w:rPr>
          <w:rFonts w:ascii="Times New Roman" w:hAnsi="Times New Roman" w:cs="Times New Roman"/>
          <w:iCs/>
          <w:color w:val="2F5496" w:themeColor="accent1" w:themeShade="BF"/>
          <w:sz w:val="22"/>
          <w:szCs w:val="22"/>
        </w:rPr>
        <w:t xml:space="preserve">, increase the amount and quality of learning time, and help provide an enriched and accelerated curriculum, including programs and activities necessary to </w:t>
      </w:r>
      <w:r w:rsidRPr="00DF5FA2">
        <w:rPr>
          <w:rFonts w:ascii="Times New Roman" w:hAnsi="Times New Roman" w:cs="Times New Roman"/>
          <w:b/>
          <w:iCs/>
          <w:color w:val="2F5496" w:themeColor="accent1" w:themeShade="BF"/>
          <w:sz w:val="22"/>
          <w:szCs w:val="22"/>
        </w:rPr>
        <w:t>provide a well-rounded education</w:t>
      </w:r>
      <w:r w:rsidRPr="00DF5FA2">
        <w:rPr>
          <w:rFonts w:ascii="Times New Roman" w:hAnsi="Times New Roman" w:cs="Times New Roman"/>
          <w:iCs/>
          <w:color w:val="2F5496" w:themeColor="accent1" w:themeShade="BF"/>
          <w:sz w:val="22"/>
          <w:szCs w:val="22"/>
        </w:rPr>
        <w:t xml:space="preserve">. </w:t>
      </w:r>
    </w:p>
    <w:p w14:paraId="61EE83E7" w14:textId="5AC21E69" w:rsidR="00B33910" w:rsidRPr="00DF5FA2" w:rsidRDefault="00B33910" w:rsidP="0050705F">
      <w:pPr>
        <w:pStyle w:val="ListParagraph"/>
        <w:rPr>
          <w:rFonts w:ascii="Times New Roman" w:hAnsi="Times New Roman" w:cs="Times New Roman"/>
          <w:i/>
          <w:color w:val="2F5496" w:themeColor="accent1" w:themeShade="BF"/>
          <w:sz w:val="22"/>
          <w:szCs w:val="22"/>
        </w:rPr>
      </w:pPr>
      <w:r w:rsidRPr="00DF5FA2">
        <w:rPr>
          <w:rFonts w:ascii="Times New Roman" w:hAnsi="Times New Roman" w:cs="Times New Roman"/>
          <w:i/>
          <w:color w:val="2F5496" w:themeColor="accent1" w:themeShade="BF"/>
          <w:sz w:val="22"/>
          <w:szCs w:val="22"/>
        </w:rPr>
        <w:t>(ES</w:t>
      </w:r>
      <w:r w:rsidR="0045252B" w:rsidRPr="00DF5FA2">
        <w:rPr>
          <w:rFonts w:ascii="Times New Roman" w:hAnsi="Times New Roman" w:cs="Times New Roman"/>
          <w:i/>
          <w:color w:val="2F5496" w:themeColor="accent1" w:themeShade="BF"/>
          <w:sz w:val="22"/>
          <w:szCs w:val="22"/>
        </w:rPr>
        <w:t>E</w:t>
      </w:r>
      <w:r w:rsidRPr="00DF5FA2">
        <w:rPr>
          <w:rFonts w:ascii="Times New Roman" w:hAnsi="Times New Roman" w:cs="Times New Roman"/>
          <w:i/>
          <w:color w:val="2F5496" w:themeColor="accent1" w:themeShade="BF"/>
          <w:sz w:val="22"/>
          <w:szCs w:val="22"/>
        </w:rPr>
        <w:t>A section 1114(b)(7)(A)(ii)).</w:t>
      </w:r>
    </w:p>
    <w:p w14:paraId="164725D6" w14:textId="75E6C6A7" w:rsidR="00B33910" w:rsidRPr="00DF5FA2" w:rsidRDefault="00B33910" w:rsidP="00B33910">
      <w:pPr>
        <w:pStyle w:val="ListParagraph"/>
        <w:numPr>
          <w:ilvl w:val="0"/>
          <w:numId w:val="3"/>
        </w:numPr>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highlight w:val="yellow"/>
        </w:rPr>
        <w:t xml:space="preserve">Note that </w:t>
      </w:r>
      <w:r w:rsidRPr="00DF5FA2">
        <w:rPr>
          <w:rFonts w:ascii="Times New Roman" w:hAnsi="Times New Roman" w:cs="Times New Roman"/>
          <w:b/>
          <w:bCs/>
          <w:iCs/>
          <w:color w:val="2F5496" w:themeColor="accent1" w:themeShade="BF"/>
          <w:sz w:val="22"/>
          <w:szCs w:val="22"/>
          <w:highlight w:val="yellow"/>
        </w:rPr>
        <w:t>all Title I funded purchases</w:t>
      </w:r>
      <w:r w:rsidRPr="00DF5FA2">
        <w:rPr>
          <w:rFonts w:ascii="Times New Roman" w:hAnsi="Times New Roman" w:cs="Times New Roman"/>
          <w:iCs/>
          <w:color w:val="2F5496" w:themeColor="accent1" w:themeShade="BF"/>
          <w:sz w:val="22"/>
          <w:szCs w:val="22"/>
          <w:highlight w:val="yellow"/>
        </w:rPr>
        <w:t xml:space="preserve"> </w:t>
      </w:r>
      <w:r w:rsidRPr="00DF5FA2">
        <w:rPr>
          <w:rFonts w:ascii="Times New Roman" w:hAnsi="Times New Roman" w:cs="Times New Roman"/>
          <w:b/>
          <w:bCs/>
          <w:iCs/>
          <w:color w:val="2F5496" w:themeColor="accent1" w:themeShade="BF"/>
          <w:sz w:val="22"/>
          <w:szCs w:val="22"/>
          <w:highlight w:val="yellow"/>
        </w:rPr>
        <w:t>[including positions]</w:t>
      </w:r>
      <w:r w:rsidRPr="00DF5FA2">
        <w:rPr>
          <w:rFonts w:ascii="Times New Roman" w:hAnsi="Times New Roman" w:cs="Times New Roman"/>
          <w:iCs/>
          <w:color w:val="2F5496" w:themeColor="accent1" w:themeShade="BF"/>
          <w:sz w:val="22"/>
          <w:szCs w:val="22"/>
          <w:highlight w:val="yellow"/>
        </w:rPr>
        <w:t xml:space="preserve"> must be an</w:t>
      </w:r>
      <w:r w:rsidR="0050705F" w:rsidRPr="00DF5FA2">
        <w:rPr>
          <w:rFonts w:ascii="Times New Roman" w:hAnsi="Times New Roman" w:cs="Times New Roman"/>
          <w:iCs/>
          <w:color w:val="2F5496" w:themeColor="accent1" w:themeShade="BF"/>
          <w:sz w:val="22"/>
          <w:szCs w:val="22"/>
          <w:highlight w:val="yellow"/>
        </w:rPr>
        <w:t xml:space="preserve">/in support of an, </w:t>
      </w:r>
      <w:r w:rsidR="0045252B" w:rsidRPr="00DF5FA2">
        <w:rPr>
          <w:rFonts w:ascii="Times New Roman" w:hAnsi="Times New Roman" w:cs="Times New Roman"/>
          <w:iCs/>
          <w:color w:val="2F5496" w:themeColor="accent1" w:themeShade="BF"/>
          <w:sz w:val="22"/>
          <w:szCs w:val="22"/>
          <w:highlight w:val="yellow"/>
        </w:rPr>
        <w:t xml:space="preserve">ESSA </w:t>
      </w:r>
      <w:r w:rsidRPr="00DF5FA2">
        <w:rPr>
          <w:rFonts w:ascii="Times New Roman" w:hAnsi="Times New Roman" w:cs="Times New Roman"/>
          <w:iCs/>
          <w:color w:val="2F5496" w:themeColor="accent1" w:themeShade="BF"/>
          <w:sz w:val="22"/>
          <w:szCs w:val="22"/>
          <w:highlight w:val="yellow"/>
        </w:rPr>
        <w:t xml:space="preserve">evidenced-based strategy intervention or goal or in support of an </w:t>
      </w:r>
      <w:r w:rsidR="0045252B" w:rsidRPr="00DF5FA2">
        <w:rPr>
          <w:rFonts w:ascii="Times New Roman" w:hAnsi="Times New Roman" w:cs="Times New Roman"/>
          <w:iCs/>
          <w:color w:val="2F5496" w:themeColor="accent1" w:themeShade="BF"/>
          <w:sz w:val="22"/>
          <w:szCs w:val="22"/>
          <w:highlight w:val="yellow"/>
        </w:rPr>
        <w:t xml:space="preserve">ESEA </w:t>
      </w:r>
      <w:r w:rsidRPr="00DF5FA2">
        <w:rPr>
          <w:rFonts w:ascii="Times New Roman" w:hAnsi="Times New Roman" w:cs="Times New Roman"/>
          <w:iCs/>
          <w:color w:val="2F5496" w:themeColor="accent1" w:themeShade="BF"/>
          <w:sz w:val="22"/>
          <w:szCs w:val="22"/>
          <w:highlight w:val="yellow"/>
        </w:rPr>
        <w:t>evidence-based strategy, intervention or goal.</w:t>
      </w:r>
      <w:r w:rsidRPr="00DF5FA2">
        <w:rPr>
          <w:rFonts w:ascii="Times New Roman" w:hAnsi="Times New Roman" w:cs="Times New Roman"/>
          <w:iCs/>
          <w:color w:val="2F5496" w:themeColor="accent1" w:themeShade="BF"/>
          <w:sz w:val="22"/>
          <w:szCs w:val="22"/>
        </w:rPr>
        <w:t xml:space="preserve"> [See </w:t>
      </w:r>
      <w:hyperlink r:id="rId12" w:history="1">
        <w:r w:rsidRPr="00DF5FA2">
          <w:rPr>
            <w:rStyle w:val="Hyperlink"/>
            <w:rFonts w:ascii="Times New Roman" w:eastAsiaTheme="minorEastAsia" w:hAnsi="Times New Roman" w:cs="Times New Roman"/>
            <w:iCs/>
            <w:sz w:val="22"/>
            <w:szCs w:val="22"/>
          </w:rPr>
          <w:t>Guidelines for Federal Spending</w:t>
        </w:r>
      </w:hyperlink>
      <w:r w:rsidRPr="00DF5FA2">
        <w:rPr>
          <w:rFonts w:ascii="Times New Roman" w:hAnsi="Times New Roman" w:cs="Times New Roman"/>
          <w:iCs/>
          <w:color w:val="2F5496" w:themeColor="accent1" w:themeShade="BF"/>
          <w:sz w:val="22"/>
          <w:szCs w:val="22"/>
        </w:rPr>
        <w:t xml:space="preserve"> for more information]</w:t>
      </w:r>
      <w:r w:rsidR="0045252B" w:rsidRPr="00DF5FA2">
        <w:rPr>
          <w:rFonts w:ascii="Times New Roman" w:hAnsi="Times New Roman" w:cs="Times New Roman"/>
          <w:iCs/>
          <w:color w:val="2F5496" w:themeColor="accent1" w:themeShade="BF"/>
          <w:sz w:val="22"/>
          <w:szCs w:val="22"/>
        </w:rPr>
        <w:t>. Please ensure all Title I allocations for FY2</w:t>
      </w:r>
      <w:r w:rsidR="0050705F" w:rsidRPr="00DF5FA2">
        <w:rPr>
          <w:rFonts w:ascii="Times New Roman" w:hAnsi="Times New Roman" w:cs="Times New Roman"/>
          <w:iCs/>
          <w:color w:val="2F5496" w:themeColor="accent1" w:themeShade="BF"/>
          <w:sz w:val="22"/>
          <w:szCs w:val="22"/>
        </w:rPr>
        <w:t>5</w:t>
      </w:r>
      <w:r w:rsidR="0045252B" w:rsidRPr="00DF5FA2">
        <w:rPr>
          <w:rFonts w:ascii="Times New Roman" w:hAnsi="Times New Roman" w:cs="Times New Roman"/>
          <w:iCs/>
          <w:color w:val="2F5496" w:themeColor="accent1" w:themeShade="BF"/>
          <w:sz w:val="22"/>
          <w:szCs w:val="22"/>
        </w:rPr>
        <w:t xml:space="preserve"> are included in some capacity in the goals/strategies below – example: Literacy Goal – Improve literacy outcomes on DIBELS assessment through the use of Wilson Language Program. </w:t>
      </w:r>
      <w:proofErr w:type="gramStart"/>
      <w:r w:rsidR="0045252B" w:rsidRPr="00DF5FA2">
        <w:rPr>
          <w:rFonts w:ascii="Times New Roman" w:hAnsi="Times New Roman" w:cs="Times New Roman"/>
          <w:iCs/>
          <w:color w:val="2F5496" w:themeColor="accent1" w:themeShade="BF"/>
          <w:sz w:val="22"/>
          <w:szCs w:val="22"/>
        </w:rPr>
        <w:t>Title</w:t>
      </w:r>
      <w:proofErr w:type="gramEnd"/>
      <w:r w:rsidR="0045252B" w:rsidRPr="00DF5FA2">
        <w:rPr>
          <w:rFonts w:ascii="Times New Roman" w:hAnsi="Times New Roman" w:cs="Times New Roman"/>
          <w:iCs/>
          <w:color w:val="2F5496" w:themeColor="accent1" w:themeShade="BF"/>
          <w:sz w:val="22"/>
          <w:szCs w:val="22"/>
        </w:rPr>
        <w:t xml:space="preserve"> I funds will support Teacher Elementary implementing Wilson program as well as supplemental supplies associated with implementation.</w:t>
      </w:r>
    </w:p>
    <w:p w14:paraId="42835251" w14:textId="77777777" w:rsidR="002D12FD" w:rsidRPr="00DF5FA2" w:rsidRDefault="00B33910" w:rsidP="0045252B">
      <w:pPr>
        <w:pStyle w:val="Heading1"/>
        <w:ind w:firstLine="720"/>
        <w:rPr>
          <w:rFonts w:ascii="Times New Roman" w:hAnsi="Times New Roman" w:cs="Times New Roman"/>
          <w:sz w:val="28"/>
          <w:szCs w:val="28"/>
        </w:rPr>
      </w:pPr>
      <w:bookmarkStart w:id="8" w:name="_Toc513012681"/>
      <w:r w:rsidRPr="00DF5FA2">
        <w:rPr>
          <w:rFonts w:ascii="Times New Roman" w:eastAsiaTheme="minorEastAsia" w:hAnsi="Times New Roman" w:cs="Times New Roman"/>
          <w:b/>
          <w:sz w:val="28"/>
          <w:szCs w:val="28"/>
        </w:rPr>
        <w:t>a. Statement of Goals</w:t>
      </w:r>
      <w:bookmarkEnd w:id="8"/>
      <w:r w:rsidR="002D12FD" w:rsidRPr="00DF5FA2">
        <w:rPr>
          <w:rFonts w:ascii="Times New Roman" w:eastAsiaTheme="minorEastAsia" w:hAnsi="Times New Roman" w:cs="Times New Roman"/>
          <w:b/>
          <w:sz w:val="28"/>
          <w:szCs w:val="28"/>
        </w:rPr>
        <w:t>:</w:t>
      </w:r>
    </w:p>
    <w:tbl>
      <w:tblPr>
        <w:tblStyle w:val="TableGrid"/>
        <w:tblW w:w="0" w:type="auto"/>
        <w:tblLook w:val="04A0" w:firstRow="1" w:lastRow="0" w:firstColumn="1" w:lastColumn="0" w:noHBand="0" w:noVBand="1"/>
      </w:tblPr>
      <w:tblGrid>
        <w:gridCol w:w="3055"/>
        <w:gridCol w:w="9895"/>
      </w:tblGrid>
      <w:tr w:rsidR="00C91590" w:rsidRPr="00DF5FA2" w14:paraId="4A0A86BB" w14:textId="77777777" w:rsidTr="002D12FD">
        <w:tc>
          <w:tcPr>
            <w:tcW w:w="3055" w:type="dxa"/>
            <w:shd w:val="clear" w:color="auto" w:fill="DEEAF6" w:themeFill="accent5" w:themeFillTint="33"/>
          </w:tcPr>
          <w:p w14:paraId="42F9C385" w14:textId="0544C302" w:rsidR="00C91590" w:rsidRPr="00DF5FA2" w:rsidRDefault="00C91590" w:rsidP="00C91590">
            <w:pPr>
              <w:spacing w:line="600" w:lineRule="auto"/>
            </w:pPr>
            <w:r w:rsidRPr="002D12FD">
              <w:t>Literacy</w:t>
            </w:r>
            <w:r>
              <w:t>:</w:t>
            </w:r>
          </w:p>
        </w:tc>
        <w:tc>
          <w:tcPr>
            <w:tcW w:w="9895" w:type="dxa"/>
            <w:shd w:val="clear" w:color="auto" w:fill="DEEAF6" w:themeFill="accent5" w:themeFillTint="33"/>
          </w:tcPr>
          <w:p w14:paraId="02CE93D8" w14:textId="741A6C57" w:rsidR="00C91590" w:rsidRPr="00DF5FA2" w:rsidRDefault="0061758E" w:rsidP="0061758E">
            <w:r>
              <w:t>The percentage of</w:t>
            </w:r>
            <w:r>
              <w:t xml:space="preserve"> proficient</w:t>
            </w:r>
            <w:r>
              <w:t xml:space="preserve"> 3</w:t>
            </w:r>
            <w:r w:rsidRPr="0061758E">
              <w:rPr>
                <w:vertAlign w:val="superscript"/>
              </w:rPr>
              <w:t>rd</w:t>
            </w:r>
            <w:r>
              <w:t>-5t</w:t>
            </w:r>
            <w:r>
              <w:t>h grade s</w:t>
            </w:r>
            <w:r>
              <w:t xml:space="preserve">tudents </w:t>
            </w:r>
            <w:proofErr w:type="spellStart"/>
            <w:r>
              <w:t xml:space="preserve">on </w:t>
            </w:r>
            <w:proofErr w:type="spellEnd"/>
            <w:r>
              <w:t xml:space="preserve">the MCAP Reading assessment will increase by 10% </w:t>
            </w:r>
            <w:r>
              <w:t>from SY23-24 to SY24-25.</w:t>
            </w:r>
          </w:p>
        </w:tc>
      </w:tr>
      <w:tr w:rsidR="0061758E" w:rsidRPr="00DF5FA2" w14:paraId="60A0C5EE" w14:textId="77777777" w:rsidTr="002D12FD">
        <w:tc>
          <w:tcPr>
            <w:tcW w:w="3055" w:type="dxa"/>
            <w:shd w:val="clear" w:color="auto" w:fill="DEEAF6" w:themeFill="accent5" w:themeFillTint="33"/>
          </w:tcPr>
          <w:p w14:paraId="10DF95CC" w14:textId="72A105C2" w:rsidR="0061758E" w:rsidRPr="00DF5FA2" w:rsidRDefault="0061758E" w:rsidP="0061758E">
            <w:pPr>
              <w:spacing w:line="600" w:lineRule="auto"/>
            </w:pPr>
            <w:r w:rsidRPr="002D12FD">
              <w:t>Math</w:t>
            </w:r>
            <w:r>
              <w:t>:</w:t>
            </w:r>
          </w:p>
        </w:tc>
        <w:tc>
          <w:tcPr>
            <w:tcW w:w="9895" w:type="dxa"/>
            <w:shd w:val="clear" w:color="auto" w:fill="DEEAF6" w:themeFill="accent5" w:themeFillTint="33"/>
          </w:tcPr>
          <w:p w14:paraId="6C825FC4" w14:textId="0BF987D8" w:rsidR="0061758E" w:rsidRPr="00DF5FA2" w:rsidRDefault="0061758E" w:rsidP="0061758E">
            <w:r>
              <w:t>The percentage of proficient 3</w:t>
            </w:r>
            <w:r w:rsidRPr="0061758E">
              <w:rPr>
                <w:vertAlign w:val="superscript"/>
              </w:rPr>
              <w:t>rd</w:t>
            </w:r>
            <w:r>
              <w:t xml:space="preserve">-5th grade students on the MCAP </w:t>
            </w:r>
            <w:r>
              <w:t>Math</w:t>
            </w:r>
            <w:r>
              <w:t xml:space="preserve"> assessment will increase by 10% from SY23-24 to SY24-25.</w:t>
            </w:r>
          </w:p>
        </w:tc>
      </w:tr>
      <w:tr w:rsidR="00C91590" w:rsidRPr="00DF5FA2" w14:paraId="6EEA4478" w14:textId="77777777" w:rsidTr="002D12FD">
        <w:tc>
          <w:tcPr>
            <w:tcW w:w="3055" w:type="dxa"/>
            <w:shd w:val="clear" w:color="auto" w:fill="DEEAF6" w:themeFill="accent5" w:themeFillTint="33"/>
          </w:tcPr>
          <w:p w14:paraId="12D632AD" w14:textId="084CEA92" w:rsidR="00C91590" w:rsidRPr="00DF5FA2" w:rsidRDefault="00C91590" w:rsidP="00C91590">
            <w:pPr>
              <w:spacing w:line="600" w:lineRule="auto"/>
            </w:pPr>
            <w:r w:rsidRPr="002D12FD">
              <w:t>Other:</w:t>
            </w:r>
          </w:p>
        </w:tc>
        <w:tc>
          <w:tcPr>
            <w:tcW w:w="9895" w:type="dxa"/>
            <w:shd w:val="clear" w:color="auto" w:fill="DEEAF6" w:themeFill="accent5" w:themeFillTint="33"/>
          </w:tcPr>
          <w:p w14:paraId="3E62C9F3" w14:textId="3127C901" w:rsidR="00C91590" w:rsidRPr="00DF5FA2" w:rsidRDefault="0061758E" w:rsidP="0061758E">
            <w:r>
              <w:t xml:space="preserve">The percentage of </w:t>
            </w:r>
            <w:r>
              <w:t xml:space="preserve">students with chronic absence (18+ days) will decrease </w:t>
            </w:r>
            <w:r>
              <w:t>by 10% from SY23-24 to SY24-25</w:t>
            </w:r>
            <w:r>
              <w:t>.</w:t>
            </w:r>
          </w:p>
        </w:tc>
      </w:tr>
    </w:tbl>
    <w:p w14:paraId="52177635" w14:textId="77777777" w:rsidR="00B33910" w:rsidRPr="00DF5FA2" w:rsidRDefault="00B33910" w:rsidP="0045252B">
      <w:pPr>
        <w:pStyle w:val="Heading1"/>
        <w:ind w:firstLine="720"/>
        <w:rPr>
          <w:rFonts w:ascii="Times New Roman" w:eastAsiaTheme="minorEastAsia" w:hAnsi="Times New Roman" w:cs="Times New Roman"/>
          <w:b/>
          <w:i/>
          <w:sz w:val="28"/>
          <w:szCs w:val="28"/>
        </w:rPr>
      </w:pPr>
      <w:bookmarkStart w:id="9" w:name="_Toc513012682"/>
      <w:r w:rsidRPr="00DF5FA2">
        <w:rPr>
          <w:rFonts w:ascii="Times New Roman" w:eastAsiaTheme="minorEastAsia" w:hAnsi="Times New Roman" w:cs="Times New Roman"/>
          <w:b/>
          <w:sz w:val="28"/>
          <w:szCs w:val="28"/>
        </w:rPr>
        <w:t>b. Identification of Strategies</w:t>
      </w:r>
      <w:bookmarkEnd w:id="9"/>
      <w:r w:rsidR="002D12FD" w:rsidRPr="00DF5FA2">
        <w:rPr>
          <w:rFonts w:ascii="Times New Roman" w:eastAsiaTheme="minorEastAsia" w:hAnsi="Times New Roman" w:cs="Times New Roman"/>
          <w:b/>
          <w:sz w:val="28"/>
          <w:szCs w:val="28"/>
        </w:rPr>
        <w:t>:</w:t>
      </w:r>
    </w:p>
    <w:p w14:paraId="691EAC9D" w14:textId="7B3CE0D3"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schoolwide plan must include a description of how the strategies the school will be implementing will provide opportunities and address the learning needs of all students in the school, particularly the needs of the lowest-achieving students.</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 (iii)). </w:t>
      </w:r>
    </w:p>
    <w:p w14:paraId="58D0E950" w14:textId="6EE03F45"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1114(b)(7)(A)(ii)). </w:t>
      </w:r>
    </w:p>
    <w:p w14:paraId="61937994" w14:textId="77777777"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
          <w:color w:val="2F5496" w:themeColor="accent1" w:themeShade="BF"/>
          <w:sz w:val="22"/>
          <w:szCs w:val="22"/>
        </w:rPr>
        <w:t xml:space="preserve">To ensure that the plan results in progress toward addressing the needs of the school, the plan should include benchmarks for the evaluation of program results. </w:t>
      </w:r>
    </w:p>
    <w:p w14:paraId="71AC0299" w14:textId="77777777" w:rsidR="00B33910" w:rsidRPr="00DF5FA2" w:rsidRDefault="00B33910" w:rsidP="00B33910">
      <w:pPr>
        <w:pStyle w:val="ListParagraph"/>
        <w:ind w:left="1080"/>
        <w:rPr>
          <w:rFonts w:ascii="Times New Roman" w:eastAsiaTheme="minorEastAsia" w:hAnsi="Times New Roman" w:cs="Times New Roman"/>
          <w:i/>
          <w:color w:val="2F5496" w:themeColor="accent1" w:themeShade="BF"/>
          <w:sz w:val="24"/>
        </w:rPr>
      </w:pPr>
    </w:p>
    <w:tbl>
      <w:tblPr>
        <w:tblStyle w:val="TableGrid"/>
        <w:tblW w:w="14448" w:type="dxa"/>
        <w:tblInd w:w="-725" w:type="dxa"/>
        <w:tblLook w:val="04A0" w:firstRow="1" w:lastRow="0" w:firstColumn="1" w:lastColumn="0" w:noHBand="0" w:noVBand="1"/>
      </w:tblPr>
      <w:tblGrid>
        <w:gridCol w:w="4320"/>
        <w:gridCol w:w="10128"/>
      </w:tblGrid>
      <w:tr w:rsidR="00B33910" w:rsidRPr="00DF5FA2" w14:paraId="7812E769" w14:textId="77777777" w:rsidTr="0075666C">
        <w:trPr>
          <w:trHeight w:val="872"/>
        </w:trPr>
        <w:tc>
          <w:tcPr>
            <w:tcW w:w="14448" w:type="dxa"/>
            <w:gridSpan w:val="2"/>
            <w:shd w:val="clear" w:color="auto" w:fill="DEEAF6" w:themeFill="accent5" w:themeFillTint="33"/>
          </w:tcPr>
          <w:p w14:paraId="7F600E77" w14:textId="77777777" w:rsidR="0061758E" w:rsidRDefault="0061758E" w:rsidP="0061758E">
            <w:pPr>
              <w:rPr>
                <w:b/>
                <w:bCs/>
              </w:rPr>
            </w:pPr>
            <w:r w:rsidRPr="0077040A">
              <w:rPr>
                <w:b/>
                <w:bCs/>
              </w:rPr>
              <w:lastRenderedPageBreak/>
              <w:t xml:space="preserve">Evidence-Based Strategy 1: </w:t>
            </w:r>
            <w:r w:rsidRPr="0061758E">
              <w:t>High quality educators implementing the EL curriculum in literacy and Eureka curriculum in math</w:t>
            </w:r>
          </w:p>
          <w:p w14:paraId="2317E358" w14:textId="477BA1C2" w:rsidR="0061758E" w:rsidRDefault="0061758E" w:rsidP="0061758E">
            <w:pPr>
              <w:rPr>
                <w:b/>
                <w:bCs/>
              </w:rPr>
            </w:pPr>
            <w:r>
              <w:rPr>
                <w:b/>
                <w:bCs/>
              </w:rPr>
              <w:t xml:space="preserve">Person(s) Responsible: </w:t>
            </w:r>
            <w:r w:rsidRPr="0061758E">
              <w:t>Emily Augustine</w:t>
            </w:r>
            <w:r w:rsidR="0008384D">
              <w:t>, Princ</w:t>
            </w:r>
            <w:r w:rsidR="00AB7BD6">
              <w:t>i</w:t>
            </w:r>
            <w:r w:rsidR="0008384D">
              <w:t>pal</w:t>
            </w:r>
          </w:p>
          <w:p w14:paraId="6B8212AA" w14:textId="57470FA5" w:rsidR="00B33910" w:rsidRPr="00DF5FA2" w:rsidRDefault="0061758E" w:rsidP="0061758E">
            <w:pPr>
              <w:rPr>
                <w:b/>
              </w:rPr>
            </w:pPr>
            <w:r>
              <w:rPr>
                <w:b/>
                <w:bCs/>
              </w:rPr>
              <w:t xml:space="preserve">Timeframe: </w:t>
            </w:r>
            <w:r w:rsidRPr="0061758E">
              <w:t>August 202</w:t>
            </w:r>
            <w:r>
              <w:t>4-</w:t>
            </w:r>
            <w:r w:rsidRPr="0061758E">
              <w:t>June 202</w:t>
            </w:r>
            <w:r>
              <w:t>5</w:t>
            </w:r>
          </w:p>
        </w:tc>
      </w:tr>
      <w:tr w:rsidR="00B33910" w:rsidRPr="00DF5FA2" w14:paraId="6FB1073D" w14:textId="77777777" w:rsidTr="0075666C">
        <w:trPr>
          <w:trHeight w:val="1529"/>
        </w:trPr>
        <w:tc>
          <w:tcPr>
            <w:tcW w:w="4320" w:type="dxa"/>
            <w:shd w:val="clear" w:color="auto" w:fill="auto"/>
          </w:tcPr>
          <w:p w14:paraId="4A736E7F" w14:textId="77777777" w:rsidR="00B33910" w:rsidRPr="00DF5FA2" w:rsidRDefault="00B33910" w:rsidP="006E0337">
            <w:pPr>
              <w:rPr>
                <w:bCs/>
              </w:rPr>
            </w:pPr>
            <w:r w:rsidRPr="00DF5FA2">
              <w:rPr>
                <w:bCs/>
              </w:rPr>
              <w:t xml:space="preserve">Explain how this strategy </w:t>
            </w:r>
            <w:r w:rsidR="00686958" w:rsidRPr="00DF5FA2">
              <w:rPr>
                <w:bCs/>
              </w:rPr>
              <w:t>will provide equity and</w:t>
            </w:r>
            <w:r w:rsidRPr="00DF5FA2">
              <w:rPr>
                <w:bCs/>
              </w:rPr>
              <w:t xml:space="preserve"> opportunities </w:t>
            </w:r>
            <w:r w:rsidR="00686958" w:rsidRPr="00DF5FA2">
              <w:rPr>
                <w:bCs/>
              </w:rPr>
              <w:t>that</w:t>
            </w:r>
            <w:r w:rsidRPr="00DF5FA2">
              <w:rPr>
                <w:bCs/>
              </w:rPr>
              <w:t xml:space="preserve"> address</w:t>
            </w:r>
            <w:r w:rsidR="00686958" w:rsidRPr="00DF5FA2">
              <w:rPr>
                <w:bCs/>
              </w:rPr>
              <w:t xml:space="preserve"> </w:t>
            </w:r>
            <w:r w:rsidRPr="00DF5FA2">
              <w:rPr>
                <w:bCs/>
              </w:rPr>
              <w:t>the learning needs of all students in the school, particularly the needs of the lowest-achieving students.</w:t>
            </w:r>
          </w:p>
        </w:tc>
        <w:tc>
          <w:tcPr>
            <w:tcW w:w="10128" w:type="dxa"/>
            <w:shd w:val="clear" w:color="auto" w:fill="auto"/>
          </w:tcPr>
          <w:p w14:paraId="36DFCFAC" w14:textId="6CF97022" w:rsidR="0061758E" w:rsidRPr="0061758E" w:rsidRDefault="0061758E" w:rsidP="0061758E">
            <w:pPr>
              <w:tabs>
                <w:tab w:val="left" w:pos="3600"/>
              </w:tabs>
            </w:pPr>
            <w:r w:rsidRPr="0061758E">
              <w:t>Continuing to fund high-quality educators at all grade levels and content areas will support the goal</w:t>
            </w:r>
            <w:r>
              <w:t>s</w:t>
            </w:r>
            <w:r w:rsidRPr="0061758E">
              <w:t xml:space="preserve"> of</w:t>
            </w:r>
            <w:r>
              <w:t xml:space="preserve"> increased student achievement on the</w:t>
            </w:r>
            <w:r w:rsidRPr="0061758E">
              <w:t xml:space="preserve"> MCAP </w:t>
            </w:r>
            <w:r>
              <w:t>Reading and MCAP Math assessments</w:t>
            </w:r>
            <w:r w:rsidRPr="0061758E">
              <w:t>. This strategy provides equity and opportunity to address the learning needs of all students in the school</w:t>
            </w:r>
            <w:r>
              <w:t>.  E</w:t>
            </w:r>
            <w:r w:rsidRPr="0061758E">
              <w:t xml:space="preserve">nsuring </w:t>
            </w:r>
            <w:r>
              <w:t>high-quality</w:t>
            </w:r>
            <w:r w:rsidRPr="0061758E">
              <w:t xml:space="preserve"> </w:t>
            </w:r>
            <w:r>
              <w:t>T</w:t>
            </w:r>
            <w:r w:rsidRPr="0061758E">
              <w:t>ier 1 instruction</w:t>
            </w:r>
            <w:r>
              <w:t xml:space="preserve"> and consistent data cycles will build students’ foundational math and literacy skills and lead to greater outcomes on annual state testing in reading and mathematics.</w:t>
            </w:r>
          </w:p>
          <w:p w14:paraId="7F453140" w14:textId="432EB9EC" w:rsidR="0061758E" w:rsidRDefault="0061758E" w:rsidP="0061758E">
            <w:pPr>
              <w:tabs>
                <w:tab w:val="left" w:pos="3600"/>
              </w:tabs>
            </w:pPr>
          </w:p>
          <w:p w14:paraId="4962D5CD" w14:textId="74ECE36D" w:rsidR="0061758E" w:rsidRPr="0061758E" w:rsidRDefault="0061758E" w:rsidP="0061758E">
            <w:pPr>
              <w:tabs>
                <w:tab w:val="left" w:pos="3600"/>
              </w:tabs>
              <w:rPr>
                <w:sz w:val="16"/>
                <w:szCs w:val="16"/>
              </w:rPr>
            </w:pPr>
          </w:p>
        </w:tc>
      </w:tr>
      <w:tr w:rsidR="00B33910" w:rsidRPr="00DF5FA2" w14:paraId="76D2CB08" w14:textId="77777777" w:rsidTr="0075666C">
        <w:trPr>
          <w:trHeight w:val="2060"/>
        </w:trPr>
        <w:tc>
          <w:tcPr>
            <w:tcW w:w="4320" w:type="dxa"/>
            <w:shd w:val="clear" w:color="auto" w:fill="auto"/>
          </w:tcPr>
          <w:p w14:paraId="37BB5C7E" w14:textId="77777777" w:rsidR="00B33910" w:rsidRPr="00DF5FA2" w:rsidRDefault="00B33910" w:rsidP="006E0337">
            <w:pPr>
              <w:rPr>
                <w:bCs/>
              </w:rPr>
            </w:pPr>
            <w:r w:rsidRPr="00DF5FA2">
              <w:rPr>
                <w:bCs/>
              </w:rPr>
              <w:t>How will this strategy strengthen the academic program in the school, increase the amount and quality of learning time, and help provide an enriched and accelerated curriculum, including programs and activities necessary to provide a well-rounded education?</w:t>
            </w:r>
          </w:p>
          <w:p w14:paraId="593FAD9A" w14:textId="11BC9000" w:rsidR="0075666C" w:rsidRPr="00DF5FA2" w:rsidRDefault="0075666C" w:rsidP="006E0337">
            <w:pPr>
              <w:rPr>
                <w:bCs/>
              </w:rPr>
            </w:pPr>
            <w:r w:rsidRPr="00DF5FA2">
              <w:rPr>
                <w:bCs/>
                <w:highlight w:val="yellow"/>
              </w:rPr>
              <w:t>What ESSA Evidence-based strategy will it support?</w:t>
            </w:r>
          </w:p>
        </w:tc>
        <w:tc>
          <w:tcPr>
            <w:tcW w:w="10128" w:type="dxa"/>
            <w:shd w:val="clear" w:color="auto" w:fill="auto"/>
          </w:tcPr>
          <w:p w14:paraId="72A26628" w14:textId="77777777" w:rsidR="0061758E" w:rsidRPr="0061758E" w:rsidRDefault="0061758E" w:rsidP="0061758E">
            <w:pPr>
              <w:rPr>
                <w:bCs/>
                <w:szCs w:val="18"/>
              </w:rPr>
            </w:pPr>
            <w:r w:rsidRPr="0061758E">
              <w:rPr>
                <w:bCs/>
                <w:szCs w:val="18"/>
              </w:rPr>
              <w:t>The EL curriculum is ESSA approved.  The EL curriculum was chosen because it aligns to the school’s mission, vision, values, and whole-child instructional approach to education.  General educators use all components of this curriculum, which strengthens the academic program and provides an enriched and well-rounded education to all students.</w:t>
            </w:r>
          </w:p>
          <w:p w14:paraId="5B36070A" w14:textId="77777777" w:rsidR="0061758E" w:rsidRPr="0061758E" w:rsidRDefault="0061758E" w:rsidP="0061758E">
            <w:pPr>
              <w:rPr>
                <w:bCs/>
                <w:szCs w:val="18"/>
              </w:rPr>
            </w:pPr>
          </w:p>
          <w:p w14:paraId="7AF3D22C" w14:textId="42B8E3DF" w:rsidR="00B33910" w:rsidRPr="00DF5FA2" w:rsidRDefault="0061758E" w:rsidP="0061758E">
            <w:pPr>
              <w:rPr>
                <w:b/>
                <w:sz w:val="22"/>
                <w:szCs w:val="16"/>
              </w:rPr>
            </w:pPr>
            <w:r w:rsidRPr="0061758E">
              <w:rPr>
                <w:bCs/>
                <w:szCs w:val="18"/>
              </w:rPr>
              <w:t>The Eureka curriculum is also ESSA approved.  Similar to EL, the Eureka curriculum was chosen because it aligns to the school’s mission, vision, values, and whole-child instruction approach to education.  As stated above, general educators use all components of the curriculum, which strengthens the academic program and provides an enriched and well-rounded education to all students.</w:t>
            </w:r>
          </w:p>
        </w:tc>
      </w:tr>
      <w:tr w:rsidR="00B33910" w:rsidRPr="00DF5FA2" w14:paraId="4E3B5D29" w14:textId="77777777" w:rsidTr="0075666C">
        <w:trPr>
          <w:trHeight w:val="701"/>
        </w:trPr>
        <w:tc>
          <w:tcPr>
            <w:tcW w:w="4320" w:type="dxa"/>
            <w:shd w:val="clear" w:color="auto" w:fill="auto"/>
          </w:tcPr>
          <w:p w14:paraId="693D8429" w14:textId="77777777" w:rsidR="00B33910" w:rsidRPr="00DF5FA2" w:rsidRDefault="00B33910" w:rsidP="006E0337">
            <w:pPr>
              <w:rPr>
                <w:bCs/>
              </w:rPr>
            </w:pPr>
            <w:r w:rsidRPr="00DF5FA2">
              <w:rPr>
                <w:bCs/>
              </w:rPr>
              <w:t>What benchmarks will be used for program evaluation?</w:t>
            </w:r>
          </w:p>
        </w:tc>
        <w:tc>
          <w:tcPr>
            <w:tcW w:w="10128" w:type="dxa"/>
            <w:shd w:val="clear" w:color="auto" w:fill="auto"/>
          </w:tcPr>
          <w:p w14:paraId="78040B88" w14:textId="422468F8" w:rsidR="00B33910" w:rsidRPr="0061758E" w:rsidRDefault="0061758E" w:rsidP="0061758E">
            <w:r w:rsidRPr="0061758E">
              <w:t>Clay Hill uses the STAR Literacy Assessment</w:t>
            </w:r>
            <w:r>
              <w:t>s</w:t>
            </w:r>
            <w:r w:rsidRPr="0061758E">
              <w:t xml:space="preserve"> and STAR Math assessment</w:t>
            </w:r>
            <w:r>
              <w:t>s to evaluate program effectiveness at key progress points throughout the school year</w:t>
            </w:r>
            <w:r w:rsidRPr="0061758E">
              <w:t>.</w:t>
            </w:r>
            <w:r>
              <w:t xml:space="preserve">  The MCAP Reading and MCAP Math </w:t>
            </w:r>
            <w:r w:rsidR="007B4F33">
              <w:t>assessments are used annually each April-May to evaluate attainment of goals.</w:t>
            </w:r>
          </w:p>
        </w:tc>
      </w:tr>
      <w:tr w:rsidR="00B33910" w:rsidRPr="00DF5FA2" w14:paraId="1F8088C2" w14:textId="77777777" w:rsidTr="0075666C">
        <w:trPr>
          <w:trHeight w:val="989"/>
        </w:trPr>
        <w:tc>
          <w:tcPr>
            <w:tcW w:w="4320" w:type="dxa"/>
            <w:shd w:val="clear" w:color="auto" w:fill="auto"/>
          </w:tcPr>
          <w:p w14:paraId="39D5F348" w14:textId="16AD8F0B" w:rsidR="00B33910" w:rsidRPr="00DF5FA2" w:rsidRDefault="00B33910" w:rsidP="006E0337">
            <w:pPr>
              <w:rPr>
                <w:rFonts w:eastAsia="Arial"/>
                <w:b/>
                <w:bCs/>
              </w:rPr>
            </w:pPr>
            <w:r w:rsidRPr="00DF5FA2">
              <w:rPr>
                <w:rFonts w:eastAsia="Arial"/>
                <w:b/>
                <w:bCs/>
                <w:highlight w:val="yellow"/>
              </w:rPr>
              <w:t>What Title I funded resources [positions</w:t>
            </w:r>
            <w:r w:rsidR="0045252B" w:rsidRPr="00DF5FA2">
              <w:rPr>
                <w:rFonts w:eastAsia="Arial"/>
                <w:b/>
                <w:bCs/>
                <w:highlight w:val="yellow"/>
              </w:rPr>
              <w:t xml:space="preserve"> and/or</w:t>
            </w:r>
            <w:r w:rsidR="0075666C" w:rsidRPr="00DF5FA2">
              <w:rPr>
                <w:rFonts w:eastAsia="Arial"/>
                <w:b/>
                <w:bCs/>
                <w:highlight w:val="yellow"/>
              </w:rPr>
              <w:t xml:space="preserve"> supplies/vendors</w:t>
            </w:r>
            <w:r w:rsidRPr="00DF5FA2">
              <w:rPr>
                <w:rFonts w:eastAsia="Arial"/>
                <w:b/>
                <w:bCs/>
                <w:highlight w:val="yellow"/>
              </w:rPr>
              <w:t>] are needed for implementation?</w:t>
            </w:r>
          </w:p>
        </w:tc>
        <w:tc>
          <w:tcPr>
            <w:tcW w:w="10128" w:type="dxa"/>
            <w:shd w:val="clear" w:color="auto" w:fill="auto"/>
          </w:tcPr>
          <w:p w14:paraId="5FE2EBE5" w14:textId="147EBB78" w:rsidR="00B33910" w:rsidRPr="0008384D" w:rsidRDefault="0008384D" w:rsidP="006E0337">
            <w:pPr>
              <w:rPr>
                <w:szCs w:val="18"/>
              </w:rPr>
            </w:pPr>
            <w:r w:rsidRPr="0008384D">
              <w:rPr>
                <w:szCs w:val="18"/>
              </w:rPr>
              <w:t>1 FTE: Early Childhood Teacher</w:t>
            </w:r>
          </w:p>
        </w:tc>
      </w:tr>
      <w:tr w:rsidR="00B33910" w:rsidRPr="00DF5FA2" w14:paraId="241FE9F5" w14:textId="77777777" w:rsidTr="00686958">
        <w:trPr>
          <w:trHeight w:val="432"/>
        </w:trPr>
        <w:tc>
          <w:tcPr>
            <w:tcW w:w="14448" w:type="dxa"/>
            <w:gridSpan w:val="2"/>
            <w:shd w:val="clear" w:color="auto" w:fill="DEEAF6" w:themeFill="accent5" w:themeFillTint="33"/>
          </w:tcPr>
          <w:p w14:paraId="1027F973" w14:textId="17FC3D91" w:rsidR="0008384D" w:rsidRDefault="0008384D" w:rsidP="0008384D">
            <w:pPr>
              <w:rPr>
                <w:b/>
                <w:bCs/>
              </w:rPr>
            </w:pPr>
            <w:r w:rsidRPr="0077040A">
              <w:rPr>
                <w:b/>
                <w:bCs/>
              </w:rPr>
              <w:t xml:space="preserve">Evidence-Based Strategy </w:t>
            </w:r>
            <w:r>
              <w:rPr>
                <w:b/>
                <w:bCs/>
              </w:rPr>
              <w:t>2</w:t>
            </w:r>
            <w:r w:rsidRPr="0077040A">
              <w:rPr>
                <w:b/>
                <w:bCs/>
              </w:rPr>
              <w:t xml:space="preserve">: </w:t>
            </w:r>
            <w:r w:rsidRPr="0008384D">
              <w:t>High quality tutors implementing the EL curriculum in literacy and Eureka curriculum in math.</w:t>
            </w:r>
          </w:p>
          <w:p w14:paraId="68995F88" w14:textId="6E86E452" w:rsidR="0008384D" w:rsidRDefault="0008384D" w:rsidP="0008384D">
            <w:pPr>
              <w:rPr>
                <w:b/>
                <w:bCs/>
              </w:rPr>
            </w:pPr>
            <w:r>
              <w:rPr>
                <w:b/>
                <w:bCs/>
              </w:rPr>
              <w:t xml:space="preserve">Person(s) Responsible: </w:t>
            </w:r>
            <w:r w:rsidRPr="0008384D">
              <w:t>Christine Farber</w:t>
            </w:r>
            <w:r>
              <w:t>, Reading Intervention Teacher</w:t>
            </w:r>
          </w:p>
          <w:p w14:paraId="4C0CDA4F" w14:textId="4AF6C2E7" w:rsidR="00B33910" w:rsidRPr="00DF5FA2" w:rsidRDefault="0008384D" w:rsidP="0008384D">
            <w:pPr>
              <w:rPr>
                <w:b/>
              </w:rPr>
            </w:pPr>
            <w:r>
              <w:rPr>
                <w:b/>
                <w:bCs/>
              </w:rPr>
              <w:t xml:space="preserve">Timeframe: </w:t>
            </w:r>
            <w:r w:rsidRPr="0008384D">
              <w:t>August 202</w:t>
            </w:r>
            <w:r w:rsidRPr="0008384D">
              <w:t>4</w:t>
            </w:r>
            <w:r w:rsidRPr="0008384D">
              <w:t>-June 202</w:t>
            </w:r>
            <w:r w:rsidRPr="0008384D">
              <w:t>5</w:t>
            </w:r>
          </w:p>
        </w:tc>
      </w:tr>
      <w:tr w:rsidR="0008384D" w:rsidRPr="00DF5FA2" w14:paraId="08F510E5" w14:textId="77777777" w:rsidTr="0075666C">
        <w:trPr>
          <w:trHeight w:val="620"/>
        </w:trPr>
        <w:tc>
          <w:tcPr>
            <w:tcW w:w="4320" w:type="dxa"/>
            <w:shd w:val="clear" w:color="auto" w:fill="auto"/>
          </w:tcPr>
          <w:p w14:paraId="194E4067" w14:textId="77777777" w:rsidR="0008384D" w:rsidRPr="00DF5FA2" w:rsidRDefault="0008384D" w:rsidP="0008384D">
            <w:pPr>
              <w:rPr>
                <w:bCs/>
              </w:rPr>
            </w:pPr>
            <w:r w:rsidRPr="00DF5FA2">
              <w:rPr>
                <w:bCs/>
              </w:rPr>
              <w:t xml:space="preserve">Explain how this strategy will provide equity and opportunities that address the learning needs of all students in the </w:t>
            </w:r>
            <w:r w:rsidRPr="00DF5FA2">
              <w:rPr>
                <w:bCs/>
              </w:rPr>
              <w:lastRenderedPageBreak/>
              <w:t>school, particularly the needs of the lowest-achieving students.</w:t>
            </w:r>
          </w:p>
        </w:tc>
        <w:tc>
          <w:tcPr>
            <w:tcW w:w="10128" w:type="dxa"/>
            <w:shd w:val="clear" w:color="auto" w:fill="auto"/>
          </w:tcPr>
          <w:p w14:paraId="6A097C5E" w14:textId="343CC305" w:rsidR="0008384D" w:rsidRPr="0008384D" w:rsidRDefault="0008384D" w:rsidP="0008384D">
            <w:pPr>
              <w:rPr>
                <w:szCs w:val="13"/>
              </w:rPr>
            </w:pPr>
            <w:r w:rsidRPr="0008384D">
              <w:rPr>
                <w:szCs w:val="13"/>
              </w:rPr>
              <w:lastRenderedPageBreak/>
              <w:t>This strategy provides equity and opportunity to address the learning needs of all students in the school, particularly the needs of the lowest achieving students, by providing them with small-group tutoring using EL and Eureka</w:t>
            </w:r>
            <w:r>
              <w:rPr>
                <w:szCs w:val="13"/>
              </w:rPr>
              <w:t xml:space="preserve"> instructional resources.</w:t>
            </w:r>
          </w:p>
        </w:tc>
      </w:tr>
      <w:tr w:rsidR="0008384D" w:rsidRPr="00DF5FA2" w14:paraId="71238B32" w14:textId="77777777" w:rsidTr="0075666C">
        <w:trPr>
          <w:trHeight w:val="2600"/>
        </w:trPr>
        <w:tc>
          <w:tcPr>
            <w:tcW w:w="4320" w:type="dxa"/>
            <w:shd w:val="clear" w:color="auto" w:fill="auto"/>
          </w:tcPr>
          <w:p w14:paraId="5F9ECDA5" w14:textId="77777777" w:rsidR="0008384D" w:rsidRPr="00DF5FA2" w:rsidRDefault="0008384D" w:rsidP="0008384D">
            <w:pPr>
              <w:rPr>
                <w:bCs/>
              </w:rPr>
            </w:pPr>
            <w:r w:rsidRPr="00DF5FA2">
              <w:rPr>
                <w:bCs/>
              </w:rPr>
              <w:t>How will this strategy strengthen the academic program in the school, increase the amount and quality of learning time, and help provide an enriched and accelerated curriculum, including programs and activities necessary to provide a well-rounded education?</w:t>
            </w:r>
          </w:p>
          <w:p w14:paraId="5DB89703" w14:textId="6A4423DB" w:rsidR="0008384D" w:rsidRPr="00DF5FA2" w:rsidRDefault="0008384D" w:rsidP="0008384D">
            <w:pPr>
              <w:rPr>
                <w:bCs/>
              </w:rPr>
            </w:pPr>
            <w:r w:rsidRPr="00DF5FA2">
              <w:rPr>
                <w:bCs/>
                <w:highlight w:val="yellow"/>
              </w:rPr>
              <w:t>What ESSA Evidence-based strategy will it support?</w:t>
            </w:r>
          </w:p>
        </w:tc>
        <w:tc>
          <w:tcPr>
            <w:tcW w:w="10128" w:type="dxa"/>
            <w:shd w:val="clear" w:color="auto" w:fill="auto"/>
          </w:tcPr>
          <w:p w14:paraId="039A0FB2" w14:textId="77777777" w:rsidR="0008384D" w:rsidRPr="0008384D" w:rsidRDefault="0008384D" w:rsidP="0008384D">
            <w:pPr>
              <w:rPr>
                <w:szCs w:val="13"/>
              </w:rPr>
            </w:pPr>
            <w:r w:rsidRPr="0008384D">
              <w:rPr>
                <w:szCs w:val="13"/>
              </w:rPr>
              <w:t>The EL curriculum is ESSA approved.  The EL curriculum was chosen because it aligns to the school’s mission, vision, values, and whole-child instructional approach to education.  General educators use all components of this curriculum, which strengthens the academic program and provides an enriched and well-rounded education to all students.</w:t>
            </w:r>
          </w:p>
          <w:p w14:paraId="4858D1DE" w14:textId="77777777" w:rsidR="0008384D" w:rsidRPr="0008384D" w:rsidRDefault="0008384D" w:rsidP="0008384D">
            <w:pPr>
              <w:rPr>
                <w:b/>
                <w:bCs/>
                <w:szCs w:val="13"/>
              </w:rPr>
            </w:pPr>
          </w:p>
          <w:p w14:paraId="0D86381E" w14:textId="1277FFF4" w:rsidR="0008384D" w:rsidRPr="0008384D" w:rsidRDefault="0008384D" w:rsidP="0008384D">
            <w:pPr>
              <w:rPr>
                <w:b/>
                <w:szCs w:val="13"/>
              </w:rPr>
            </w:pPr>
            <w:r w:rsidRPr="0008384D">
              <w:rPr>
                <w:szCs w:val="13"/>
              </w:rPr>
              <w:t>The Eureka curriculum is also ESSA approved.  Similar to EL, the Eureka curriculum was chosen because it aligns to the school’s mission, vision, values, and whole-child instruction approach to education.  As stated above, general educators use all components of the curriculum, which strengthens the academic program and provides an enriched and well-rounded education to all students.</w:t>
            </w:r>
          </w:p>
        </w:tc>
      </w:tr>
      <w:tr w:rsidR="0008384D" w:rsidRPr="00DF5FA2" w14:paraId="506B0081" w14:textId="77777777" w:rsidTr="0075666C">
        <w:trPr>
          <w:trHeight w:val="620"/>
        </w:trPr>
        <w:tc>
          <w:tcPr>
            <w:tcW w:w="4320" w:type="dxa"/>
            <w:shd w:val="clear" w:color="auto" w:fill="auto"/>
          </w:tcPr>
          <w:p w14:paraId="7E3771E4" w14:textId="7C7F0BD8" w:rsidR="0008384D" w:rsidRPr="00DF5FA2" w:rsidRDefault="0008384D" w:rsidP="0008384D">
            <w:pPr>
              <w:rPr>
                <w:bCs/>
              </w:rPr>
            </w:pPr>
            <w:r w:rsidRPr="00DF5FA2">
              <w:rPr>
                <w:bCs/>
              </w:rPr>
              <w:t>What benchmarks will be used for program evaluation?</w:t>
            </w:r>
          </w:p>
        </w:tc>
        <w:tc>
          <w:tcPr>
            <w:tcW w:w="10128" w:type="dxa"/>
            <w:shd w:val="clear" w:color="auto" w:fill="auto"/>
          </w:tcPr>
          <w:p w14:paraId="301929F2" w14:textId="13A869F4" w:rsidR="0008384D" w:rsidRPr="0008384D" w:rsidRDefault="0008384D" w:rsidP="0008384D">
            <w:pPr>
              <w:rPr>
                <w:szCs w:val="13"/>
              </w:rPr>
            </w:pPr>
            <w:r w:rsidRPr="0061758E">
              <w:t>Clay Hill uses the STAR Literacy Assessment</w:t>
            </w:r>
            <w:r>
              <w:t>s</w:t>
            </w:r>
            <w:r w:rsidRPr="0061758E">
              <w:t xml:space="preserve"> and STAR Math assessment</w:t>
            </w:r>
            <w:r>
              <w:t>s to evaluate program effectiveness at key progress points throughout the school year</w:t>
            </w:r>
            <w:r w:rsidRPr="0061758E">
              <w:t>.</w:t>
            </w:r>
            <w:r>
              <w:t xml:space="preserve">  The MCAP Reading and MCAP Math assessments are used annually each April-May to evaluate attainment of goals.</w:t>
            </w:r>
          </w:p>
        </w:tc>
      </w:tr>
      <w:tr w:rsidR="0008384D" w:rsidRPr="00DF5FA2" w14:paraId="494A34E2" w14:textId="77777777" w:rsidTr="0075666C">
        <w:trPr>
          <w:trHeight w:val="980"/>
        </w:trPr>
        <w:tc>
          <w:tcPr>
            <w:tcW w:w="4320" w:type="dxa"/>
            <w:shd w:val="clear" w:color="auto" w:fill="auto"/>
          </w:tcPr>
          <w:p w14:paraId="76EB2605" w14:textId="38923288" w:rsidR="0008384D" w:rsidRPr="00DF5FA2" w:rsidRDefault="0008384D" w:rsidP="0008384D">
            <w:pPr>
              <w:rPr>
                <w:rFonts w:eastAsia="Arial"/>
                <w:b/>
                <w:bCs/>
              </w:rPr>
            </w:pPr>
            <w:r w:rsidRPr="00DF5FA2">
              <w:rPr>
                <w:rFonts w:eastAsia="Arial"/>
                <w:b/>
                <w:bCs/>
                <w:highlight w:val="yellow"/>
              </w:rPr>
              <w:t>What Title I funded resources [positions and/or supplies/vendors] are needed for implementation?</w:t>
            </w:r>
          </w:p>
        </w:tc>
        <w:tc>
          <w:tcPr>
            <w:tcW w:w="10128" w:type="dxa"/>
            <w:shd w:val="clear" w:color="auto" w:fill="auto"/>
          </w:tcPr>
          <w:p w14:paraId="361E73B8" w14:textId="17AD67A6" w:rsidR="0008384D" w:rsidRPr="0008384D" w:rsidRDefault="0008384D" w:rsidP="0008384D">
            <w:pPr>
              <w:rPr>
                <w:szCs w:val="13"/>
              </w:rPr>
            </w:pPr>
            <w:r w:rsidRPr="0008384D">
              <w:rPr>
                <w:szCs w:val="13"/>
              </w:rPr>
              <w:t>1 Temp</w:t>
            </w:r>
            <w:r>
              <w:rPr>
                <w:szCs w:val="13"/>
              </w:rPr>
              <w:t xml:space="preserve"> Tutor</w:t>
            </w:r>
            <w:r w:rsidRPr="0008384D">
              <w:rPr>
                <w:szCs w:val="13"/>
              </w:rPr>
              <w:t xml:space="preserve"> position</w:t>
            </w:r>
          </w:p>
        </w:tc>
      </w:tr>
      <w:tr w:rsidR="00B33910" w:rsidRPr="00DF5FA2" w14:paraId="70215F78" w14:textId="77777777" w:rsidTr="0075666C">
        <w:trPr>
          <w:trHeight w:val="890"/>
        </w:trPr>
        <w:tc>
          <w:tcPr>
            <w:tcW w:w="14448" w:type="dxa"/>
            <w:gridSpan w:val="2"/>
            <w:shd w:val="clear" w:color="auto" w:fill="DEEAF6" w:themeFill="accent5" w:themeFillTint="33"/>
          </w:tcPr>
          <w:p w14:paraId="73325404" w14:textId="3EC3E5C1" w:rsidR="0008384D" w:rsidRDefault="0008384D" w:rsidP="0008384D">
            <w:pPr>
              <w:rPr>
                <w:b/>
                <w:bCs/>
              </w:rPr>
            </w:pPr>
            <w:r w:rsidRPr="0077040A">
              <w:rPr>
                <w:b/>
                <w:bCs/>
              </w:rPr>
              <w:t xml:space="preserve">Evidence-Based Strategy 3: </w:t>
            </w:r>
            <w:r w:rsidRPr="0008384D">
              <w:t xml:space="preserve">Instructional supplies </w:t>
            </w:r>
            <w:r>
              <w:t>to supplement</w:t>
            </w:r>
            <w:r w:rsidRPr="0008384D">
              <w:t xml:space="preserve"> ESSA approved curriculums in literacy and math</w:t>
            </w:r>
          </w:p>
          <w:p w14:paraId="6CCE1A35" w14:textId="3FFBB0A6" w:rsidR="0008384D" w:rsidRDefault="0008384D" w:rsidP="0008384D">
            <w:pPr>
              <w:rPr>
                <w:b/>
                <w:bCs/>
              </w:rPr>
            </w:pPr>
            <w:r>
              <w:rPr>
                <w:b/>
                <w:bCs/>
              </w:rPr>
              <w:t xml:space="preserve">Person(s) Responsible: </w:t>
            </w:r>
            <w:r w:rsidRPr="0008384D">
              <w:t>Christine Farber</w:t>
            </w:r>
            <w:r>
              <w:t>, Reading Intervention Teacher</w:t>
            </w:r>
          </w:p>
          <w:p w14:paraId="3F02F943" w14:textId="0C50258A" w:rsidR="00B33910" w:rsidRPr="00DF5FA2" w:rsidRDefault="0008384D" w:rsidP="0008384D">
            <w:pPr>
              <w:rPr>
                <w:b/>
              </w:rPr>
            </w:pPr>
            <w:r>
              <w:rPr>
                <w:b/>
                <w:bCs/>
              </w:rPr>
              <w:t xml:space="preserve">Timeframe: </w:t>
            </w:r>
            <w:r w:rsidRPr="0008384D">
              <w:t>August 202</w:t>
            </w:r>
            <w:r>
              <w:t>4</w:t>
            </w:r>
            <w:r w:rsidRPr="0008384D">
              <w:t>-June 202</w:t>
            </w:r>
            <w:r>
              <w:t>5</w:t>
            </w:r>
          </w:p>
        </w:tc>
      </w:tr>
      <w:tr w:rsidR="0008384D" w:rsidRPr="00DF5FA2" w14:paraId="2C831E08" w14:textId="77777777" w:rsidTr="006E0337">
        <w:trPr>
          <w:trHeight w:val="504"/>
        </w:trPr>
        <w:tc>
          <w:tcPr>
            <w:tcW w:w="4320" w:type="dxa"/>
            <w:shd w:val="clear" w:color="auto" w:fill="auto"/>
          </w:tcPr>
          <w:p w14:paraId="1D4746F6" w14:textId="77777777" w:rsidR="0008384D" w:rsidRPr="00DF5FA2" w:rsidRDefault="0008384D" w:rsidP="0008384D">
            <w:pPr>
              <w:rPr>
                <w:bCs/>
              </w:rPr>
            </w:pPr>
            <w:r w:rsidRPr="00DF5FA2">
              <w:rPr>
                <w:bCs/>
              </w:rPr>
              <w:t>Explain how this strategy will provide equity and opportunities that address the learning needs of all students in the school, particularly the needs of the lowest-achieving students.</w:t>
            </w:r>
          </w:p>
        </w:tc>
        <w:tc>
          <w:tcPr>
            <w:tcW w:w="10128" w:type="dxa"/>
            <w:shd w:val="clear" w:color="auto" w:fill="auto"/>
          </w:tcPr>
          <w:p w14:paraId="5279FA46" w14:textId="360A5304" w:rsidR="0008384D" w:rsidRPr="0008384D" w:rsidRDefault="0008384D" w:rsidP="0008384D">
            <w:r w:rsidRPr="0008384D">
              <w:t>This strategy provides equity and opportunity to address the learning needs of all students in the school, particularly the needs of the lowest achieving students, by providing them with instructional supplies to supplement the EL and Eureka curriculum, which are both ESSA approved curriculums.</w:t>
            </w:r>
          </w:p>
        </w:tc>
      </w:tr>
      <w:tr w:rsidR="0008384D" w:rsidRPr="00DF5FA2" w14:paraId="1DE591AF" w14:textId="77777777" w:rsidTr="0075666C">
        <w:trPr>
          <w:trHeight w:val="710"/>
        </w:trPr>
        <w:tc>
          <w:tcPr>
            <w:tcW w:w="4320" w:type="dxa"/>
            <w:shd w:val="clear" w:color="auto" w:fill="auto"/>
          </w:tcPr>
          <w:p w14:paraId="20A1A43B" w14:textId="77777777" w:rsidR="0008384D" w:rsidRPr="00DF5FA2" w:rsidRDefault="0008384D" w:rsidP="0008384D">
            <w:pPr>
              <w:rPr>
                <w:bCs/>
              </w:rPr>
            </w:pPr>
            <w:r w:rsidRPr="00DF5FA2">
              <w:rPr>
                <w:bCs/>
              </w:rPr>
              <w:t xml:space="preserve">How will this strategy strengthen the academic program in the school, increase the amount and quality of learning time, and help provide an enriched and accelerated curriculum, including </w:t>
            </w:r>
            <w:r w:rsidRPr="00DF5FA2">
              <w:rPr>
                <w:bCs/>
              </w:rPr>
              <w:lastRenderedPageBreak/>
              <w:t>programs and activities necessary to provide a well-rounded education?</w:t>
            </w:r>
          </w:p>
          <w:p w14:paraId="2480D974" w14:textId="742639F5" w:rsidR="0008384D" w:rsidRPr="00DF5FA2" w:rsidRDefault="0008384D" w:rsidP="0008384D">
            <w:pPr>
              <w:rPr>
                <w:bCs/>
              </w:rPr>
            </w:pPr>
            <w:r w:rsidRPr="00DF5FA2">
              <w:rPr>
                <w:bCs/>
                <w:highlight w:val="yellow"/>
              </w:rPr>
              <w:t>What ESSA Evidence-based strategy will it support?</w:t>
            </w:r>
          </w:p>
        </w:tc>
        <w:tc>
          <w:tcPr>
            <w:tcW w:w="10128" w:type="dxa"/>
            <w:shd w:val="clear" w:color="auto" w:fill="auto"/>
          </w:tcPr>
          <w:p w14:paraId="1856589E" w14:textId="77777777" w:rsidR="0008384D" w:rsidRPr="0008384D" w:rsidRDefault="0008384D" w:rsidP="0008384D">
            <w:r w:rsidRPr="0008384D">
              <w:lastRenderedPageBreak/>
              <w:t>The EL curriculum is ESSA approved.  The EL curriculum was chosen because it aligns to the school’s mission, vision, values, and whole-child instructional approach to education.  General educators use all components of this curriculum, which strengthens the academic program and provides an enriched and well-rounded education to all students.</w:t>
            </w:r>
          </w:p>
          <w:p w14:paraId="43925547" w14:textId="77777777" w:rsidR="0008384D" w:rsidRPr="0008384D" w:rsidRDefault="0008384D" w:rsidP="0008384D">
            <w:pPr>
              <w:rPr>
                <w:b/>
                <w:bCs/>
              </w:rPr>
            </w:pPr>
          </w:p>
          <w:p w14:paraId="7E22F388" w14:textId="5FDE6141" w:rsidR="0008384D" w:rsidRPr="0008384D" w:rsidRDefault="0008384D" w:rsidP="0008384D">
            <w:r w:rsidRPr="0008384D">
              <w:lastRenderedPageBreak/>
              <w:t>The Eureka curriculum is also ESSA approved.  Similar to EL, the Eureka curriculum was chosen because it aligns to the school’s mission, vision, values, and whole-child instruction approach to education.  As stated above, general educators use all components of the curriculum, which strengthens the academic program and provides an enriched and well-rounded education to all students.</w:t>
            </w:r>
          </w:p>
        </w:tc>
      </w:tr>
      <w:tr w:rsidR="0008384D" w:rsidRPr="00DF5FA2" w14:paraId="08349B5A" w14:textId="77777777" w:rsidTr="0075666C">
        <w:trPr>
          <w:trHeight w:val="701"/>
        </w:trPr>
        <w:tc>
          <w:tcPr>
            <w:tcW w:w="4320" w:type="dxa"/>
            <w:shd w:val="clear" w:color="auto" w:fill="auto"/>
          </w:tcPr>
          <w:p w14:paraId="64DD68AF" w14:textId="77777777" w:rsidR="0008384D" w:rsidRPr="00DF5FA2" w:rsidRDefault="0008384D" w:rsidP="0008384D">
            <w:pPr>
              <w:rPr>
                <w:bCs/>
              </w:rPr>
            </w:pPr>
            <w:r w:rsidRPr="00DF5FA2">
              <w:rPr>
                <w:bCs/>
              </w:rPr>
              <w:t>What benchmarks will be used for program evaluation?</w:t>
            </w:r>
          </w:p>
        </w:tc>
        <w:tc>
          <w:tcPr>
            <w:tcW w:w="10128" w:type="dxa"/>
            <w:shd w:val="clear" w:color="auto" w:fill="auto"/>
          </w:tcPr>
          <w:p w14:paraId="1D05F27E" w14:textId="15D29C95" w:rsidR="0008384D" w:rsidRPr="0008384D" w:rsidRDefault="0008384D" w:rsidP="0008384D">
            <w:r w:rsidRPr="0061758E">
              <w:t>Clay Hill uses the STAR Literacy Assessment</w:t>
            </w:r>
            <w:r>
              <w:t>s</w:t>
            </w:r>
            <w:r w:rsidRPr="0061758E">
              <w:t xml:space="preserve"> and STAR Math assessment</w:t>
            </w:r>
            <w:r>
              <w:t>s to evaluate program effectiveness at key progress points throughout the school year</w:t>
            </w:r>
            <w:r w:rsidRPr="0061758E">
              <w:t>.</w:t>
            </w:r>
            <w:r>
              <w:t xml:space="preserve">  The MCAP Reading and MCAP Math assessments are used annually each April-May to evaluate attainment of goals.</w:t>
            </w:r>
          </w:p>
        </w:tc>
      </w:tr>
      <w:tr w:rsidR="0008384D" w:rsidRPr="00DF5FA2" w14:paraId="0A06FD35" w14:textId="77777777" w:rsidTr="0075666C">
        <w:trPr>
          <w:trHeight w:val="989"/>
        </w:trPr>
        <w:tc>
          <w:tcPr>
            <w:tcW w:w="4320" w:type="dxa"/>
            <w:shd w:val="clear" w:color="auto" w:fill="auto"/>
          </w:tcPr>
          <w:p w14:paraId="0D79ABD3" w14:textId="00CA6A79" w:rsidR="0008384D" w:rsidRPr="00DF5FA2" w:rsidRDefault="0008384D" w:rsidP="0008384D">
            <w:pPr>
              <w:rPr>
                <w:rFonts w:eastAsia="Arial"/>
                <w:b/>
                <w:bCs/>
              </w:rPr>
            </w:pPr>
            <w:r w:rsidRPr="00DF5FA2">
              <w:rPr>
                <w:rFonts w:eastAsia="Arial"/>
                <w:b/>
                <w:bCs/>
                <w:highlight w:val="yellow"/>
              </w:rPr>
              <w:t>What Title I funded resources [positions and/or supplies/vendors] are needed for implementation?</w:t>
            </w:r>
          </w:p>
        </w:tc>
        <w:tc>
          <w:tcPr>
            <w:tcW w:w="10128" w:type="dxa"/>
            <w:shd w:val="clear" w:color="auto" w:fill="auto"/>
          </w:tcPr>
          <w:p w14:paraId="0FC169DD" w14:textId="1FC8EE3F" w:rsidR="0008384D" w:rsidRPr="0008384D" w:rsidRDefault="0008384D" w:rsidP="0008384D">
            <w:r w:rsidRPr="0008384D">
              <w:t>Instructional Supplies</w:t>
            </w:r>
          </w:p>
        </w:tc>
      </w:tr>
    </w:tbl>
    <w:p w14:paraId="3FA01FC0" w14:textId="77777777" w:rsidR="0075666C" w:rsidRPr="00DF5FA2" w:rsidRDefault="0075666C" w:rsidP="00B33910">
      <w:pPr>
        <w:pStyle w:val="Heading1"/>
        <w:rPr>
          <w:rFonts w:ascii="Times New Roman" w:hAnsi="Times New Roman" w:cs="Times New Roman"/>
          <w:b/>
        </w:rPr>
      </w:pPr>
      <w:bookmarkStart w:id="10" w:name="_Toc513012683"/>
    </w:p>
    <w:p w14:paraId="73384F5F" w14:textId="77777777" w:rsidR="0075666C" w:rsidRPr="00DF5FA2" w:rsidRDefault="0075666C">
      <w:pPr>
        <w:rPr>
          <w:rFonts w:eastAsiaTheme="majorEastAsia"/>
          <w:b/>
          <w:color w:val="2F5496" w:themeColor="accent1" w:themeShade="BF"/>
          <w:sz w:val="32"/>
          <w:szCs w:val="32"/>
        </w:rPr>
      </w:pPr>
      <w:r w:rsidRPr="00DF5FA2">
        <w:rPr>
          <w:b/>
        </w:rPr>
        <w:br w:type="page"/>
      </w:r>
    </w:p>
    <w:p w14:paraId="492C9D64" w14:textId="7CEEE0F0" w:rsidR="00B33910" w:rsidRPr="00DF5FA2" w:rsidRDefault="00B33910" w:rsidP="00B33910">
      <w:pPr>
        <w:pStyle w:val="Heading1"/>
        <w:rPr>
          <w:rFonts w:ascii="Times New Roman" w:hAnsi="Times New Roman" w:cs="Times New Roman"/>
          <w:b/>
          <w:sz w:val="28"/>
          <w:szCs w:val="28"/>
        </w:rPr>
      </w:pPr>
      <w:r w:rsidRPr="00DF5FA2">
        <w:rPr>
          <w:rFonts w:ascii="Times New Roman" w:hAnsi="Times New Roman" w:cs="Times New Roman"/>
          <w:b/>
          <w:sz w:val="28"/>
          <w:szCs w:val="28"/>
        </w:rPr>
        <w:lastRenderedPageBreak/>
        <w:t>III. Component 3: Parent, Community, and Stakeholder Involvement</w:t>
      </w:r>
      <w:bookmarkEnd w:id="10"/>
    </w:p>
    <w:p w14:paraId="4F9ED593" w14:textId="77777777" w:rsidR="00B33910" w:rsidRPr="00DF5FA2" w:rsidRDefault="00B33910" w:rsidP="00686958">
      <w:pPr>
        <w:pStyle w:val="Heading1"/>
        <w:rPr>
          <w:rFonts w:ascii="Times New Roman" w:hAnsi="Times New Roman" w:cs="Times New Roman"/>
          <w:b/>
          <w:color w:val="00B0F0"/>
          <w:sz w:val="22"/>
          <w:szCs w:val="22"/>
        </w:rPr>
      </w:pPr>
      <w:r w:rsidRPr="00DF5FA2">
        <w:rPr>
          <w:rFonts w:ascii="Times New Roman" w:hAnsi="Times New Roman" w:cs="Times New Roman"/>
          <w:b/>
          <w:color w:val="00B0F0"/>
          <w:sz w:val="22"/>
          <w:szCs w:val="22"/>
          <w:highlight w:val="yellow"/>
        </w:rPr>
        <w:t>(Attach documentation [Sign-ins, notes, flyers, agendas, handouts, etc. for each activity in support of the stakeholder engagement and input)</w:t>
      </w:r>
    </w:p>
    <w:p w14:paraId="1B7456D9"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Through the needs assessment, </w:t>
      </w:r>
      <w:r w:rsidRPr="00DF5FA2">
        <w:rPr>
          <w:rFonts w:ascii="Times New Roman" w:hAnsi="Times New Roman" w:cs="Times New Roman"/>
          <w:b/>
          <w:iCs/>
          <w:color w:val="2F5496" w:themeColor="accent1" w:themeShade="BF"/>
          <w:sz w:val="22"/>
          <w:szCs w:val="22"/>
        </w:rPr>
        <w:t>a school must consult with a broad range of stakeholders, including parents, school staff, and others in the community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b/>
          <w:iCs/>
          <w:color w:val="2F5496" w:themeColor="accent1" w:themeShade="BF"/>
          <w:sz w:val="22"/>
          <w:szCs w:val="22"/>
        </w:rPr>
        <w:t>and examine relevant academic achievement data to understand students’ most pressing needs and their root causes.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
          <w:color w:val="2F5496" w:themeColor="accent1" w:themeShade="BF"/>
          <w:sz w:val="22"/>
          <w:szCs w:val="22"/>
        </w:rPr>
        <w:t>(ESEA section 1114(b)(2); 34 C.F.R. § 200.26(a))</w:t>
      </w:r>
      <w:r w:rsidRPr="00DF5FA2">
        <w:rPr>
          <w:rFonts w:ascii="Times New Roman" w:hAnsi="Times New Roman" w:cs="Times New Roman"/>
          <w:iCs/>
          <w:color w:val="2F5496" w:themeColor="accent1" w:themeShade="BF"/>
          <w:sz w:val="22"/>
          <w:szCs w:val="22"/>
        </w:rPr>
        <w:t>. Where necessary, a school should attempt to engage in interviews, focus groups, or surveys, as well as review data on students, educators, and schools to gain a better understanding of the root causes of the identified needs.</w:t>
      </w:r>
    </w:p>
    <w:p w14:paraId="593492A1"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Cs/>
          <w:iCs/>
          <w:color w:val="2F5496" w:themeColor="accent1" w:themeShade="BF"/>
          <w:sz w:val="22"/>
          <w:szCs w:val="22"/>
        </w:rPr>
        <w:t xml:space="preserve">The plan must be made available to the local educational agency, parents, and the public and is in an understandable and uniform format and, to the extent practicable*, provided in a language that the parents can understand. </w:t>
      </w:r>
      <w:r w:rsidRPr="00DF5FA2">
        <w:rPr>
          <w:rFonts w:ascii="Times New Roman" w:hAnsi="Times New Roman" w:cs="Times New Roman"/>
          <w:i/>
          <w:color w:val="2F5496" w:themeColor="accent1" w:themeShade="BF"/>
          <w:sz w:val="22"/>
          <w:szCs w:val="22"/>
        </w:rPr>
        <w:t xml:space="preserve">[Sec. </w:t>
      </w:r>
      <w:r w:rsidRPr="00DF5FA2">
        <w:rPr>
          <w:rFonts w:ascii="Times New Roman" w:hAnsi="Times New Roman" w:cs="Times New Roman"/>
          <w:bCs/>
          <w:i/>
          <w:color w:val="2F5496" w:themeColor="accent1" w:themeShade="BF"/>
          <w:sz w:val="22"/>
          <w:szCs w:val="22"/>
        </w:rPr>
        <w:t>1114(b)(4)]</w:t>
      </w:r>
    </w:p>
    <w:p w14:paraId="50EA157C" w14:textId="7E16A463"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
          <w:iCs/>
          <w:color w:val="2F5496" w:themeColor="accent1" w:themeShade="BF"/>
          <w:sz w:val="22"/>
          <w:szCs w:val="22"/>
        </w:rPr>
        <w:t>A school operating a schoolwide program shall develop (or amend) a comprehensive plan that is developed with the involvement of parents and other members of the community to be served and individuals who will carry out such plan</w:t>
      </w:r>
      <w:r w:rsidRPr="00DF5FA2">
        <w:rPr>
          <w:rFonts w:ascii="Times New Roman" w:hAnsi="Times New Roman" w:cs="Times New Roman"/>
          <w:iCs/>
          <w:color w:val="2F5496" w:themeColor="accent1" w:themeShade="BF"/>
          <w:sz w:val="22"/>
          <w:szCs w:val="22"/>
        </w:rPr>
        <w:t xml:space="preserve"> including </w:t>
      </w:r>
      <w:r w:rsidRPr="00DF5FA2">
        <w:rPr>
          <w:rFonts w:ascii="Times New Roman" w:hAnsi="Times New Roman" w:cs="Times New Roman"/>
          <w:iCs/>
          <w:color w:val="2F5496" w:themeColor="accent1" w:themeShade="BF"/>
          <w:sz w:val="22"/>
          <w:szCs w:val="22"/>
          <w:u w:val="single"/>
        </w:rPr>
        <w:t>teachers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principals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other school leaders</w:t>
      </w:r>
      <w:r w:rsidRPr="00DF5FA2">
        <w:rPr>
          <w:rFonts w:ascii="Times New Roman" w:hAnsi="Times New Roman" w:cs="Times New Roman"/>
          <w:iCs/>
          <w:color w:val="2F5496" w:themeColor="accent1" w:themeShade="BF"/>
          <w:sz w:val="22"/>
          <w:szCs w:val="22"/>
        </w:rPr>
        <w:t xml:space="preserve"> (including administrators of programs), </w:t>
      </w:r>
      <w:r w:rsidRPr="00DF5FA2">
        <w:rPr>
          <w:rFonts w:ascii="Times New Roman" w:hAnsi="Times New Roman" w:cs="Times New Roman"/>
          <w:iCs/>
          <w:color w:val="2F5496" w:themeColor="accent1" w:themeShade="BF"/>
          <w:sz w:val="22"/>
          <w:szCs w:val="22"/>
          <w:u w:val="single"/>
        </w:rPr>
        <w:t>paraprofessionals</w:t>
      </w:r>
      <w:r w:rsidRPr="00DF5FA2">
        <w:rPr>
          <w:rFonts w:ascii="Times New Roman" w:hAnsi="Times New Roman" w:cs="Times New Roman"/>
          <w:iCs/>
          <w:color w:val="2F5496" w:themeColor="accent1" w:themeShade="BF"/>
          <w:sz w:val="22"/>
          <w:szCs w:val="22"/>
        </w:rPr>
        <w:t xml:space="preserve">,, the </w:t>
      </w:r>
      <w:r w:rsidRPr="00DF5FA2">
        <w:rPr>
          <w:rFonts w:ascii="Times New Roman" w:hAnsi="Times New Roman" w:cs="Times New Roman"/>
          <w:iCs/>
          <w:color w:val="2F5496" w:themeColor="accent1" w:themeShade="BF"/>
          <w:sz w:val="22"/>
          <w:szCs w:val="22"/>
          <w:u w:val="single"/>
        </w:rPr>
        <w:t>LEA</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tribal organizations, if applicable</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specialized instructional support personnel</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technical assistance providers (secondary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school staff</w:t>
      </w:r>
      <w:r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Cs/>
          <w:color w:val="2F5496" w:themeColor="accent1" w:themeShade="BF"/>
          <w:sz w:val="22"/>
          <w:szCs w:val="22"/>
        </w:rPr>
        <w:t xml:space="preserve">and/or </w:t>
      </w:r>
      <w:r w:rsidRPr="00DF5FA2">
        <w:rPr>
          <w:rFonts w:ascii="Times New Roman" w:hAnsi="Times New Roman" w:cs="Times New Roman"/>
          <w:iCs/>
          <w:color w:val="2F5496" w:themeColor="accent1" w:themeShade="BF"/>
          <w:sz w:val="22"/>
          <w:szCs w:val="22"/>
        </w:rPr>
        <w:t>others determined by the school</w:t>
      </w:r>
      <w:r w:rsidR="00462CD4"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
          <w:color w:val="2F5496" w:themeColor="accent1" w:themeShade="BF"/>
          <w:sz w:val="22"/>
          <w:szCs w:val="22"/>
        </w:rPr>
        <w:t>[</w:t>
      </w:r>
      <w:r w:rsidRPr="00DF5FA2">
        <w:rPr>
          <w:rFonts w:ascii="Times New Roman" w:hAnsi="Times New Roman" w:cs="Times New Roman"/>
          <w:i/>
          <w:color w:val="2F5496" w:themeColor="accent1" w:themeShade="BF"/>
          <w:sz w:val="22"/>
          <w:szCs w:val="22"/>
        </w:rPr>
        <w:t>Section 114(b)(2)]</w:t>
      </w:r>
    </w:p>
    <w:tbl>
      <w:tblPr>
        <w:tblStyle w:val="TableGrid"/>
        <w:tblpPr w:leftFromText="180" w:rightFromText="180" w:vertAnchor="text" w:horzAnchor="margin" w:tblpXSpec="right" w:tblpY="401"/>
        <w:tblW w:w="13675" w:type="dxa"/>
        <w:tblLook w:val="04A0" w:firstRow="1" w:lastRow="0" w:firstColumn="1" w:lastColumn="0" w:noHBand="0" w:noVBand="1"/>
      </w:tblPr>
      <w:tblGrid>
        <w:gridCol w:w="4655"/>
        <w:gridCol w:w="5580"/>
        <w:gridCol w:w="3440"/>
      </w:tblGrid>
      <w:tr w:rsidR="00B33910" w:rsidRPr="00DF5FA2" w14:paraId="777E23AF" w14:textId="77777777" w:rsidTr="00686958">
        <w:trPr>
          <w:trHeight w:val="283"/>
        </w:trPr>
        <w:tc>
          <w:tcPr>
            <w:tcW w:w="4655" w:type="dxa"/>
            <w:shd w:val="clear" w:color="auto" w:fill="DEEAF6" w:themeFill="accent5" w:themeFillTint="33"/>
          </w:tcPr>
          <w:p w14:paraId="266CAFCA" w14:textId="77777777" w:rsidR="00B33910" w:rsidRPr="00DF5FA2" w:rsidRDefault="00B33910" w:rsidP="006E0337">
            <w:pPr>
              <w:jc w:val="center"/>
              <w:rPr>
                <w:b/>
                <w:bCs/>
                <w:sz w:val="28"/>
                <w:szCs w:val="28"/>
              </w:rPr>
            </w:pPr>
            <w:r w:rsidRPr="00DF5FA2">
              <w:rPr>
                <w:b/>
                <w:bCs/>
                <w:sz w:val="28"/>
                <w:szCs w:val="28"/>
              </w:rPr>
              <w:t>Type(s) of Engagement</w:t>
            </w:r>
          </w:p>
        </w:tc>
        <w:tc>
          <w:tcPr>
            <w:tcW w:w="5580" w:type="dxa"/>
            <w:shd w:val="clear" w:color="auto" w:fill="DEEAF6" w:themeFill="accent5" w:themeFillTint="33"/>
          </w:tcPr>
          <w:p w14:paraId="59804AC6" w14:textId="77777777" w:rsidR="00B33910" w:rsidRPr="00DF5FA2" w:rsidRDefault="00B33910" w:rsidP="006E0337">
            <w:pPr>
              <w:jc w:val="center"/>
              <w:rPr>
                <w:b/>
                <w:bCs/>
                <w:sz w:val="28"/>
                <w:szCs w:val="28"/>
              </w:rPr>
            </w:pPr>
            <w:r w:rsidRPr="00DF5FA2">
              <w:rPr>
                <w:b/>
                <w:bCs/>
                <w:color w:val="000000" w:themeColor="text1"/>
                <w:sz w:val="28"/>
                <w:szCs w:val="28"/>
              </w:rPr>
              <w:t xml:space="preserve">Stakeholders </w:t>
            </w:r>
          </w:p>
        </w:tc>
        <w:tc>
          <w:tcPr>
            <w:tcW w:w="3440" w:type="dxa"/>
            <w:shd w:val="clear" w:color="auto" w:fill="DEEAF6" w:themeFill="accent5" w:themeFillTint="33"/>
          </w:tcPr>
          <w:p w14:paraId="7F6597D1" w14:textId="77777777" w:rsidR="00B33910" w:rsidRPr="00DF5FA2" w:rsidRDefault="00B33910" w:rsidP="006E0337">
            <w:pPr>
              <w:jc w:val="center"/>
              <w:rPr>
                <w:b/>
                <w:bCs/>
                <w:sz w:val="28"/>
                <w:szCs w:val="28"/>
              </w:rPr>
            </w:pPr>
            <w:r w:rsidRPr="00DF5FA2">
              <w:rPr>
                <w:b/>
                <w:bCs/>
                <w:sz w:val="28"/>
                <w:szCs w:val="28"/>
              </w:rPr>
              <w:t>Date(s) of engagement</w:t>
            </w:r>
          </w:p>
        </w:tc>
      </w:tr>
      <w:tr w:rsidR="00F26237" w:rsidRPr="00DF5FA2" w14:paraId="6D88273D" w14:textId="77777777" w:rsidTr="006E0337">
        <w:trPr>
          <w:trHeight w:val="283"/>
        </w:trPr>
        <w:tc>
          <w:tcPr>
            <w:tcW w:w="4655" w:type="dxa"/>
          </w:tcPr>
          <w:p w14:paraId="3D2BED08" w14:textId="0A07F7CA" w:rsidR="00F26237" w:rsidRPr="00DF5FA2" w:rsidRDefault="00F26237" w:rsidP="00F26237">
            <w:pPr>
              <w:rPr>
                <w:color w:val="FF0000"/>
                <w:sz w:val="28"/>
                <w:szCs w:val="28"/>
              </w:rPr>
            </w:pPr>
            <w:r w:rsidRPr="03D22667">
              <w:rPr>
                <w:sz w:val="28"/>
                <w:szCs w:val="28"/>
              </w:rPr>
              <w:t>Priority Engagement Session</w:t>
            </w:r>
          </w:p>
        </w:tc>
        <w:tc>
          <w:tcPr>
            <w:tcW w:w="5580" w:type="dxa"/>
          </w:tcPr>
          <w:p w14:paraId="59311A81" w14:textId="372F2033" w:rsidR="00F26237" w:rsidRPr="00DF5FA2" w:rsidRDefault="00F26237" w:rsidP="00F26237">
            <w:pPr>
              <w:rPr>
                <w:color w:val="FF0000"/>
                <w:sz w:val="28"/>
                <w:szCs w:val="28"/>
              </w:rPr>
            </w:pPr>
            <w:r w:rsidRPr="002F31F5">
              <w:rPr>
                <w:sz w:val="28"/>
                <w:szCs w:val="28"/>
              </w:rPr>
              <w:t>Parents, Staff, Administration</w:t>
            </w:r>
          </w:p>
        </w:tc>
        <w:tc>
          <w:tcPr>
            <w:tcW w:w="3440" w:type="dxa"/>
          </w:tcPr>
          <w:p w14:paraId="4BD2B575" w14:textId="2DD37451" w:rsidR="00F26237" w:rsidRPr="00DF5FA2" w:rsidRDefault="00B130C5" w:rsidP="00F26237">
            <w:pPr>
              <w:rPr>
                <w:sz w:val="28"/>
                <w:szCs w:val="28"/>
              </w:rPr>
            </w:pPr>
            <w:r>
              <w:rPr>
                <w:sz w:val="28"/>
                <w:szCs w:val="28"/>
              </w:rPr>
              <w:t>December 19</w:t>
            </w:r>
            <w:r w:rsidR="00F26237">
              <w:rPr>
                <w:sz w:val="28"/>
                <w:szCs w:val="28"/>
              </w:rPr>
              <w:t>, 2023</w:t>
            </w:r>
          </w:p>
        </w:tc>
      </w:tr>
      <w:tr w:rsidR="00F26237" w:rsidRPr="00DF5FA2" w14:paraId="5EEA2482" w14:textId="77777777" w:rsidTr="006E0337">
        <w:trPr>
          <w:trHeight w:val="283"/>
        </w:trPr>
        <w:tc>
          <w:tcPr>
            <w:tcW w:w="4655" w:type="dxa"/>
          </w:tcPr>
          <w:p w14:paraId="1B5631EB" w14:textId="4EF5E49C" w:rsidR="00F26237" w:rsidRPr="00DF5FA2" w:rsidRDefault="00B130C5" w:rsidP="00F26237">
            <w:pPr>
              <w:rPr>
                <w:color w:val="FF0000"/>
                <w:sz w:val="28"/>
                <w:szCs w:val="28"/>
              </w:rPr>
            </w:pPr>
            <w:r>
              <w:rPr>
                <w:sz w:val="28"/>
                <w:szCs w:val="28"/>
              </w:rPr>
              <w:t xml:space="preserve">Budget </w:t>
            </w:r>
            <w:r w:rsidR="00F26237" w:rsidRPr="03D22667">
              <w:rPr>
                <w:sz w:val="28"/>
                <w:szCs w:val="28"/>
              </w:rPr>
              <w:t>Survey</w:t>
            </w:r>
          </w:p>
        </w:tc>
        <w:tc>
          <w:tcPr>
            <w:tcW w:w="5580" w:type="dxa"/>
          </w:tcPr>
          <w:p w14:paraId="54C5C76E" w14:textId="6290E398" w:rsidR="00F26237" w:rsidRPr="00DF5FA2" w:rsidRDefault="00F26237" w:rsidP="00F26237">
            <w:pPr>
              <w:rPr>
                <w:color w:val="FF0000"/>
                <w:sz w:val="28"/>
                <w:szCs w:val="28"/>
              </w:rPr>
            </w:pPr>
            <w:r w:rsidRPr="002F31F5">
              <w:rPr>
                <w:sz w:val="28"/>
                <w:szCs w:val="28"/>
              </w:rPr>
              <w:t xml:space="preserve">Parents and </w:t>
            </w:r>
            <w:r w:rsidR="00B130C5">
              <w:rPr>
                <w:sz w:val="28"/>
                <w:szCs w:val="28"/>
              </w:rPr>
              <w:t>S</w:t>
            </w:r>
            <w:r w:rsidRPr="002F31F5">
              <w:rPr>
                <w:sz w:val="28"/>
                <w:szCs w:val="28"/>
              </w:rPr>
              <w:t>taff</w:t>
            </w:r>
          </w:p>
        </w:tc>
        <w:tc>
          <w:tcPr>
            <w:tcW w:w="3440" w:type="dxa"/>
          </w:tcPr>
          <w:p w14:paraId="4280B69B" w14:textId="2E946E6C" w:rsidR="00F26237" w:rsidRPr="00DF5FA2" w:rsidRDefault="00F26237" w:rsidP="00F26237">
            <w:pPr>
              <w:rPr>
                <w:sz w:val="28"/>
                <w:szCs w:val="28"/>
              </w:rPr>
            </w:pPr>
            <w:r w:rsidRPr="002F31F5">
              <w:rPr>
                <w:sz w:val="28"/>
                <w:szCs w:val="28"/>
              </w:rPr>
              <w:t>January – February 202</w:t>
            </w:r>
            <w:r>
              <w:rPr>
                <w:sz w:val="28"/>
                <w:szCs w:val="28"/>
              </w:rPr>
              <w:t>4</w:t>
            </w:r>
          </w:p>
        </w:tc>
      </w:tr>
      <w:tr w:rsidR="00F26237" w:rsidRPr="00DF5FA2" w14:paraId="091B6C91" w14:textId="77777777" w:rsidTr="006E0337">
        <w:trPr>
          <w:trHeight w:val="283"/>
        </w:trPr>
        <w:tc>
          <w:tcPr>
            <w:tcW w:w="4655" w:type="dxa"/>
          </w:tcPr>
          <w:p w14:paraId="57878503" w14:textId="761E70AB" w:rsidR="00F26237" w:rsidRPr="00DF5FA2" w:rsidRDefault="00B130C5" w:rsidP="00F26237">
            <w:pPr>
              <w:rPr>
                <w:sz w:val="28"/>
                <w:szCs w:val="28"/>
              </w:rPr>
            </w:pPr>
            <w:r>
              <w:rPr>
                <w:sz w:val="28"/>
                <w:szCs w:val="28"/>
              </w:rPr>
              <w:t xml:space="preserve">Budget </w:t>
            </w:r>
            <w:r w:rsidR="00F26237" w:rsidRPr="03D22667">
              <w:rPr>
                <w:sz w:val="28"/>
                <w:szCs w:val="28"/>
              </w:rPr>
              <w:t xml:space="preserve">Forum </w:t>
            </w:r>
          </w:p>
        </w:tc>
        <w:tc>
          <w:tcPr>
            <w:tcW w:w="5580" w:type="dxa"/>
          </w:tcPr>
          <w:p w14:paraId="0506B29D" w14:textId="24EBF1AA" w:rsidR="00F26237" w:rsidRPr="00DF5FA2" w:rsidRDefault="00F26237" w:rsidP="00F26237">
            <w:pPr>
              <w:rPr>
                <w:sz w:val="28"/>
                <w:szCs w:val="28"/>
              </w:rPr>
            </w:pPr>
            <w:r>
              <w:rPr>
                <w:sz w:val="28"/>
                <w:szCs w:val="28"/>
              </w:rPr>
              <w:t>Parents and Staff</w:t>
            </w:r>
          </w:p>
        </w:tc>
        <w:tc>
          <w:tcPr>
            <w:tcW w:w="3440" w:type="dxa"/>
          </w:tcPr>
          <w:p w14:paraId="6CFEE170" w14:textId="301B0EDC" w:rsidR="00F26237" w:rsidRPr="00DF5FA2" w:rsidRDefault="00F26237" w:rsidP="00F26237">
            <w:pPr>
              <w:rPr>
                <w:sz w:val="28"/>
                <w:szCs w:val="28"/>
              </w:rPr>
            </w:pPr>
            <w:r>
              <w:rPr>
                <w:sz w:val="28"/>
                <w:szCs w:val="28"/>
              </w:rPr>
              <w:t>February 2</w:t>
            </w:r>
            <w:r w:rsidR="00B130C5">
              <w:rPr>
                <w:sz w:val="28"/>
                <w:szCs w:val="28"/>
              </w:rPr>
              <w:t>8</w:t>
            </w:r>
            <w:r>
              <w:rPr>
                <w:sz w:val="28"/>
                <w:szCs w:val="28"/>
              </w:rPr>
              <w:t>, 202</w:t>
            </w:r>
            <w:r w:rsidR="00B130C5">
              <w:rPr>
                <w:sz w:val="28"/>
                <w:szCs w:val="28"/>
              </w:rPr>
              <w:t>4</w:t>
            </w:r>
          </w:p>
        </w:tc>
      </w:tr>
      <w:tr w:rsidR="00F26237" w:rsidRPr="00DF5FA2" w14:paraId="741B4F51" w14:textId="77777777" w:rsidTr="006E0337">
        <w:trPr>
          <w:trHeight w:val="283"/>
        </w:trPr>
        <w:tc>
          <w:tcPr>
            <w:tcW w:w="4655" w:type="dxa"/>
          </w:tcPr>
          <w:p w14:paraId="7C20B949" w14:textId="2A4C83F2" w:rsidR="00F26237" w:rsidRPr="00DF5FA2" w:rsidRDefault="00B130C5" w:rsidP="00F26237">
            <w:pPr>
              <w:rPr>
                <w:sz w:val="28"/>
                <w:szCs w:val="28"/>
              </w:rPr>
            </w:pPr>
            <w:r>
              <w:rPr>
                <w:sz w:val="28"/>
                <w:szCs w:val="28"/>
              </w:rPr>
              <w:t>Budget Review</w:t>
            </w:r>
          </w:p>
        </w:tc>
        <w:tc>
          <w:tcPr>
            <w:tcW w:w="5580" w:type="dxa"/>
          </w:tcPr>
          <w:p w14:paraId="0E7111B8" w14:textId="31E30235" w:rsidR="00F26237" w:rsidRPr="00DF5FA2" w:rsidRDefault="00B130C5" w:rsidP="00F26237">
            <w:pPr>
              <w:rPr>
                <w:sz w:val="28"/>
                <w:szCs w:val="28"/>
              </w:rPr>
            </w:pPr>
            <w:r>
              <w:rPr>
                <w:sz w:val="28"/>
                <w:szCs w:val="28"/>
              </w:rPr>
              <w:t>Parents and Staff</w:t>
            </w:r>
          </w:p>
        </w:tc>
        <w:tc>
          <w:tcPr>
            <w:tcW w:w="3440" w:type="dxa"/>
          </w:tcPr>
          <w:p w14:paraId="22C17E69" w14:textId="2E44B607" w:rsidR="00F26237" w:rsidRPr="00DF5FA2" w:rsidRDefault="00B130C5" w:rsidP="00F26237">
            <w:pPr>
              <w:rPr>
                <w:sz w:val="28"/>
                <w:szCs w:val="28"/>
              </w:rPr>
            </w:pPr>
            <w:r>
              <w:rPr>
                <w:sz w:val="28"/>
                <w:szCs w:val="28"/>
              </w:rPr>
              <w:t>March 13, 2024</w:t>
            </w:r>
          </w:p>
        </w:tc>
      </w:tr>
      <w:tr w:rsidR="00B130C5" w:rsidRPr="00DF5FA2" w14:paraId="184507F7" w14:textId="77777777" w:rsidTr="006E0337">
        <w:trPr>
          <w:trHeight w:val="283"/>
        </w:trPr>
        <w:tc>
          <w:tcPr>
            <w:tcW w:w="4655" w:type="dxa"/>
          </w:tcPr>
          <w:p w14:paraId="56BEDA13" w14:textId="3CE08D36" w:rsidR="00B130C5" w:rsidRPr="00DF5FA2" w:rsidRDefault="00B130C5" w:rsidP="00B130C5">
            <w:pPr>
              <w:rPr>
                <w:sz w:val="28"/>
                <w:szCs w:val="28"/>
              </w:rPr>
            </w:pPr>
            <w:r w:rsidRPr="03D22667">
              <w:rPr>
                <w:sz w:val="28"/>
                <w:szCs w:val="28"/>
              </w:rPr>
              <w:t>Presentation at public PPPCS, Inc. Board meeting</w:t>
            </w:r>
          </w:p>
        </w:tc>
        <w:tc>
          <w:tcPr>
            <w:tcW w:w="5580" w:type="dxa"/>
          </w:tcPr>
          <w:p w14:paraId="72C0EA49" w14:textId="10A598ED" w:rsidR="00B130C5" w:rsidRPr="00DF5FA2" w:rsidRDefault="00B130C5" w:rsidP="00B130C5">
            <w:pPr>
              <w:rPr>
                <w:sz w:val="28"/>
                <w:szCs w:val="28"/>
              </w:rPr>
            </w:pPr>
            <w:r>
              <w:rPr>
                <w:sz w:val="28"/>
                <w:szCs w:val="28"/>
              </w:rPr>
              <w:t>Staff, Board</w:t>
            </w:r>
            <w:r>
              <w:rPr>
                <w:sz w:val="28"/>
                <w:szCs w:val="28"/>
              </w:rPr>
              <w:t>, Community</w:t>
            </w:r>
          </w:p>
        </w:tc>
        <w:tc>
          <w:tcPr>
            <w:tcW w:w="3440" w:type="dxa"/>
          </w:tcPr>
          <w:p w14:paraId="6DE8D51F" w14:textId="4D800D19" w:rsidR="00B130C5" w:rsidRPr="00DF5FA2" w:rsidRDefault="00B130C5" w:rsidP="00B130C5">
            <w:pPr>
              <w:rPr>
                <w:sz w:val="28"/>
                <w:szCs w:val="28"/>
              </w:rPr>
            </w:pPr>
            <w:r w:rsidRPr="002F31F5">
              <w:rPr>
                <w:sz w:val="28"/>
                <w:szCs w:val="28"/>
              </w:rPr>
              <w:t xml:space="preserve">March </w:t>
            </w:r>
            <w:r>
              <w:rPr>
                <w:sz w:val="28"/>
                <w:szCs w:val="28"/>
              </w:rPr>
              <w:t>20</w:t>
            </w:r>
            <w:r w:rsidRPr="002F31F5">
              <w:rPr>
                <w:sz w:val="28"/>
                <w:szCs w:val="28"/>
              </w:rPr>
              <w:t>, 202</w:t>
            </w:r>
            <w:r>
              <w:rPr>
                <w:sz w:val="28"/>
                <w:szCs w:val="28"/>
              </w:rPr>
              <w:t>4</w:t>
            </w:r>
          </w:p>
        </w:tc>
      </w:tr>
      <w:tr w:rsidR="00B130C5" w:rsidRPr="00DF5FA2" w14:paraId="70859A6E" w14:textId="77777777" w:rsidTr="006E0337">
        <w:trPr>
          <w:trHeight w:val="283"/>
        </w:trPr>
        <w:tc>
          <w:tcPr>
            <w:tcW w:w="4655" w:type="dxa"/>
          </w:tcPr>
          <w:p w14:paraId="2B4F5264" w14:textId="77777777" w:rsidR="00B130C5" w:rsidRPr="00DF5FA2" w:rsidRDefault="00B130C5" w:rsidP="00B130C5">
            <w:pPr>
              <w:rPr>
                <w:sz w:val="28"/>
                <w:szCs w:val="28"/>
              </w:rPr>
            </w:pPr>
          </w:p>
        </w:tc>
        <w:tc>
          <w:tcPr>
            <w:tcW w:w="5580" w:type="dxa"/>
          </w:tcPr>
          <w:p w14:paraId="1D18A0FE" w14:textId="77777777" w:rsidR="00B130C5" w:rsidRPr="00DF5FA2" w:rsidRDefault="00B130C5" w:rsidP="00B130C5">
            <w:pPr>
              <w:rPr>
                <w:sz w:val="28"/>
                <w:szCs w:val="28"/>
              </w:rPr>
            </w:pPr>
          </w:p>
        </w:tc>
        <w:tc>
          <w:tcPr>
            <w:tcW w:w="3440" w:type="dxa"/>
          </w:tcPr>
          <w:p w14:paraId="54E501DF" w14:textId="77777777" w:rsidR="00B130C5" w:rsidRPr="00DF5FA2" w:rsidRDefault="00B130C5" w:rsidP="00B130C5">
            <w:pPr>
              <w:rPr>
                <w:sz w:val="28"/>
                <w:szCs w:val="28"/>
              </w:rPr>
            </w:pPr>
          </w:p>
        </w:tc>
      </w:tr>
      <w:tr w:rsidR="00B130C5" w:rsidRPr="00DF5FA2" w14:paraId="37DF4809" w14:textId="77777777" w:rsidTr="006E0337">
        <w:trPr>
          <w:trHeight w:val="283"/>
        </w:trPr>
        <w:tc>
          <w:tcPr>
            <w:tcW w:w="4655" w:type="dxa"/>
          </w:tcPr>
          <w:p w14:paraId="508266AB" w14:textId="77777777" w:rsidR="00B130C5" w:rsidRPr="00DF5FA2" w:rsidRDefault="00B130C5" w:rsidP="00B130C5">
            <w:pPr>
              <w:rPr>
                <w:sz w:val="28"/>
                <w:szCs w:val="28"/>
              </w:rPr>
            </w:pPr>
          </w:p>
        </w:tc>
        <w:tc>
          <w:tcPr>
            <w:tcW w:w="5580" w:type="dxa"/>
          </w:tcPr>
          <w:p w14:paraId="35A99FF0" w14:textId="77777777" w:rsidR="00B130C5" w:rsidRPr="00DF5FA2" w:rsidRDefault="00B130C5" w:rsidP="00B130C5">
            <w:pPr>
              <w:rPr>
                <w:sz w:val="28"/>
                <w:szCs w:val="28"/>
              </w:rPr>
            </w:pPr>
          </w:p>
        </w:tc>
        <w:tc>
          <w:tcPr>
            <w:tcW w:w="3440" w:type="dxa"/>
          </w:tcPr>
          <w:p w14:paraId="476990A8" w14:textId="77777777" w:rsidR="00B130C5" w:rsidRPr="00DF5FA2" w:rsidRDefault="00B130C5" w:rsidP="00B130C5">
            <w:pPr>
              <w:rPr>
                <w:sz w:val="28"/>
                <w:szCs w:val="28"/>
              </w:rPr>
            </w:pPr>
          </w:p>
        </w:tc>
      </w:tr>
      <w:tr w:rsidR="00B130C5" w:rsidRPr="00DF5FA2" w14:paraId="2C9760D9" w14:textId="77777777" w:rsidTr="006E0337">
        <w:trPr>
          <w:trHeight w:val="283"/>
        </w:trPr>
        <w:tc>
          <w:tcPr>
            <w:tcW w:w="4655" w:type="dxa"/>
          </w:tcPr>
          <w:p w14:paraId="0BDB544B" w14:textId="77777777" w:rsidR="00B130C5" w:rsidRPr="00DF5FA2" w:rsidRDefault="00B130C5" w:rsidP="00B130C5">
            <w:pPr>
              <w:rPr>
                <w:sz w:val="28"/>
                <w:szCs w:val="28"/>
              </w:rPr>
            </w:pPr>
          </w:p>
        </w:tc>
        <w:tc>
          <w:tcPr>
            <w:tcW w:w="5580" w:type="dxa"/>
          </w:tcPr>
          <w:p w14:paraId="783D7E9C" w14:textId="77777777" w:rsidR="00B130C5" w:rsidRPr="00DF5FA2" w:rsidRDefault="00B130C5" w:rsidP="00B130C5">
            <w:pPr>
              <w:rPr>
                <w:sz w:val="28"/>
                <w:szCs w:val="28"/>
              </w:rPr>
            </w:pPr>
          </w:p>
        </w:tc>
        <w:tc>
          <w:tcPr>
            <w:tcW w:w="3440" w:type="dxa"/>
          </w:tcPr>
          <w:p w14:paraId="6A2F1DCE" w14:textId="77777777" w:rsidR="00B130C5" w:rsidRPr="00DF5FA2" w:rsidRDefault="00B130C5" w:rsidP="00B130C5">
            <w:pPr>
              <w:rPr>
                <w:sz w:val="28"/>
                <w:szCs w:val="28"/>
              </w:rPr>
            </w:pPr>
          </w:p>
        </w:tc>
      </w:tr>
      <w:tr w:rsidR="00B130C5" w:rsidRPr="00DF5FA2" w14:paraId="6CBB8170" w14:textId="77777777" w:rsidTr="006E0337">
        <w:trPr>
          <w:trHeight w:val="283"/>
        </w:trPr>
        <w:tc>
          <w:tcPr>
            <w:tcW w:w="4655" w:type="dxa"/>
          </w:tcPr>
          <w:p w14:paraId="466B25B8" w14:textId="77777777" w:rsidR="00B130C5" w:rsidRPr="00DF5FA2" w:rsidRDefault="00B130C5" w:rsidP="00B130C5">
            <w:pPr>
              <w:rPr>
                <w:sz w:val="28"/>
                <w:szCs w:val="28"/>
              </w:rPr>
            </w:pPr>
          </w:p>
        </w:tc>
        <w:tc>
          <w:tcPr>
            <w:tcW w:w="5580" w:type="dxa"/>
          </w:tcPr>
          <w:p w14:paraId="1792E939" w14:textId="77777777" w:rsidR="00B130C5" w:rsidRPr="00DF5FA2" w:rsidRDefault="00B130C5" w:rsidP="00B130C5">
            <w:pPr>
              <w:rPr>
                <w:sz w:val="28"/>
                <w:szCs w:val="28"/>
              </w:rPr>
            </w:pPr>
          </w:p>
        </w:tc>
        <w:tc>
          <w:tcPr>
            <w:tcW w:w="3440" w:type="dxa"/>
          </w:tcPr>
          <w:p w14:paraId="7A0A0054" w14:textId="77777777" w:rsidR="00B130C5" w:rsidRPr="00DF5FA2" w:rsidRDefault="00B130C5" w:rsidP="00B130C5">
            <w:pPr>
              <w:rPr>
                <w:sz w:val="28"/>
                <w:szCs w:val="28"/>
              </w:rPr>
            </w:pPr>
          </w:p>
        </w:tc>
      </w:tr>
      <w:tr w:rsidR="00B130C5" w:rsidRPr="00DF5FA2" w14:paraId="69451015" w14:textId="77777777" w:rsidTr="006E0337">
        <w:trPr>
          <w:trHeight w:val="283"/>
        </w:trPr>
        <w:tc>
          <w:tcPr>
            <w:tcW w:w="4655" w:type="dxa"/>
          </w:tcPr>
          <w:p w14:paraId="70618751" w14:textId="77777777" w:rsidR="00B130C5" w:rsidRPr="00DF5FA2" w:rsidRDefault="00B130C5" w:rsidP="00B130C5">
            <w:pPr>
              <w:rPr>
                <w:sz w:val="28"/>
                <w:szCs w:val="28"/>
              </w:rPr>
            </w:pPr>
          </w:p>
        </w:tc>
        <w:tc>
          <w:tcPr>
            <w:tcW w:w="5580" w:type="dxa"/>
          </w:tcPr>
          <w:p w14:paraId="68912256" w14:textId="77777777" w:rsidR="00B130C5" w:rsidRPr="00DF5FA2" w:rsidRDefault="00B130C5" w:rsidP="00B130C5">
            <w:pPr>
              <w:rPr>
                <w:sz w:val="28"/>
                <w:szCs w:val="28"/>
              </w:rPr>
            </w:pPr>
          </w:p>
        </w:tc>
        <w:tc>
          <w:tcPr>
            <w:tcW w:w="3440" w:type="dxa"/>
          </w:tcPr>
          <w:p w14:paraId="22DF3D72" w14:textId="77777777" w:rsidR="00B130C5" w:rsidRPr="00DF5FA2" w:rsidRDefault="00B130C5" w:rsidP="00B130C5">
            <w:pPr>
              <w:rPr>
                <w:sz w:val="28"/>
                <w:szCs w:val="28"/>
              </w:rPr>
            </w:pPr>
          </w:p>
        </w:tc>
      </w:tr>
    </w:tbl>
    <w:p w14:paraId="1986F562" w14:textId="77777777" w:rsidR="00B33910" w:rsidRPr="00DF5FA2" w:rsidRDefault="00B33910" w:rsidP="00B33910">
      <w:pPr>
        <w:pStyle w:val="ListParagraph"/>
        <w:rPr>
          <w:rFonts w:ascii="Times New Roman" w:hAnsi="Times New Roman" w:cs="Times New Roman"/>
          <w:i/>
          <w:color w:val="2F5496" w:themeColor="accent1" w:themeShade="BF"/>
          <w:sz w:val="24"/>
        </w:rPr>
      </w:pPr>
    </w:p>
    <w:p w14:paraId="25706C2B" w14:textId="77777777" w:rsidR="00462CD4" w:rsidRPr="00DF5FA2" w:rsidRDefault="00462CD4" w:rsidP="00B33910">
      <w:pPr>
        <w:jc w:val="both"/>
        <w:rPr>
          <w:rStyle w:val="Heading1Char"/>
          <w:rFonts w:ascii="Times New Roman" w:hAnsi="Times New Roman" w:cs="Times New Roman"/>
          <w:b/>
        </w:rPr>
      </w:pPr>
      <w:bookmarkStart w:id="11" w:name="_Toc513012684"/>
    </w:p>
    <w:p w14:paraId="69807ED3" w14:textId="0D91EADD" w:rsidR="00B33910" w:rsidRPr="00DF5FA2" w:rsidRDefault="00B33910" w:rsidP="00B33910">
      <w:pPr>
        <w:jc w:val="both"/>
        <w:rPr>
          <w:b/>
          <w:iCs/>
          <w:color w:val="2F5496" w:themeColor="accent1" w:themeShade="BF"/>
        </w:rPr>
      </w:pPr>
      <w:r w:rsidRPr="00DF5FA2">
        <w:rPr>
          <w:rStyle w:val="Heading1Char"/>
          <w:rFonts w:ascii="Times New Roman" w:hAnsi="Times New Roman" w:cs="Times New Roman"/>
          <w:b/>
          <w:sz w:val="28"/>
          <w:szCs w:val="28"/>
        </w:rPr>
        <w:lastRenderedPageBreak/>
        <w:t>IV. Component 4: Coordination with other Federal, State, and Local Services, Resources, and Programs.</w:t>
      </w:r>
      <w:bookmarkEnd w:id="11"/>
      <w:r w:rsidRPr="00DF5FA2">
        <w:rPr>
          <w:b/>
          <w:color w:val="2F5496" w:themeColor="accent1" w:themeShade="BF"/>
          <w:sz w:val="28"/>
          <w:szCs w:val="28"/>
        </w:rPr>
        <w:t xml:space="preserve"> </w:t>
      </w:r>
      <w:r w:rsidRPr="00DF5FA2">
        <w:rPr>
          <w:bCs/>
          <w:iCs/>
          <w:color w:val="2F5496" w:themeColor="accent1" w:themeShade="BF"/>
        </w:rPr>
        <w:t>If appropriate and applicable, the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00DF5FA2" w:rsidRPr="00DF5FA2">
        <w:rPr>
          <w:b/>
          <w:color w:val="2F5496" w:themeColor="accent1" w:themeShade="BF"/>
        </w:rPr>
        <w:t xml:space="preserve"> </w:t>
      </w:r>
      <w:r w:rsidR="00DF5FA2" w:rsidRPr="00DF5FA2">
        <w:rPr>
          <w:bCs/>
          <w:i/>
          <w:iCs/>
          <w:color w:val="2F5496" w:themeColor="accent1" w:themeShade="BF"/>
        </w:rPr>
        <w:t>[Sec. 1114(b)(5)]:</w:t>
      </w:r>
    </w:p>
    <w:p w14:paraId="018E56C6" w14:textId="77777777" w:rsidR="00B33910" w:rsidRPr="00DF5FA2" w:rsidRDefault="00B33910" w:rsidP="00B33910">
      <w:pPr>
        <w:ind w:left="720"/>
        <w:jc w:val="both"/>
      </w:pPr>
    </w:p>
    <w:p w14:paraId="153F4ECD" w14:textId="38BECDF0" w:rsidR="007364C7" w:rsidRDefault="00B33910" w:rsidP="007364C7">
      <w:pPr>
        <w:ind w:firstLine="720"/>
        <w:jc w:val="both"/>
        <w:rPr>
          <w:b/>
          <w:sz w:val="32"/>
          <w:szCs w:val="32"/>
          <w:highlight w:val="yellow"/>
        </w:rPr>
      </w:pPr>
      <w:r w:rsidRPr="00DF5FA2">
        <w:rPr>
          <w:b/>
          <w:sz w:val="32"/>
          <w:szCs w:val="32"/>
        </w:rPr>
        <w:t xml:space="preserve">The budget development process satisfies this requirement. </w:t>
      </w:r>
      <w:r w:rsidRPr="00DF5FA2">
        <w:rPr>
          <w:b/>
          <w:sz w:val="32"/>
          <w:szCs w:val="32"/>
          <w:highlight w:val="yellow"/>
        </w:rPr>
        <w:t xml:space="preserve">Please attach the school’s </w:t>
      </w:r>
      <w:r w:rsidR="00F55D96" w:rsidRPr="00DF5FA2">
        <w:rPr>
          <w:b/>
          <w:sz w:val="32"/>
          <w:szCs w:val="32"/>
          <w:highlight w:val="yellow"/>
        </w:rPr>
        <w:t>FY</w:t>
      </w:r>
      <w:r w:rsidR="00DF5FA2" w:rsidRPr="00DF5FA2">
        <w:rPr>
          <w:b/>
          <w:sz w:val="32"/>
          <w:szCs w:val="32"/>
          <w:highlight w:val="yellow"/>
        </w:rPr>
        <w:t>25</w:t>
      </w:r>
      <w:r w:rsidR="0075666C" w:rsidRPr="00DF5FA2">
        <w:rPr>
          <w:b/>
          <w:sz w:val="32"/>
          <w:szCs w:val="32"/>
        </w:rPr>
        <w:tab/>
      </w:r>
      <w:r w:rsidRPr="00DF5FA2">
        <w:rPr>
          <w:b/>
          <w:sz w:val="32"/>
          <w:szCs w:val="32"/>
          <w:highlight w:val="yellow"/>
        </w:rPr>
        <w:t>School Composite Report.</w:t>
      </w:r>
    </w:p>
    <w:p w14:paraId="181A6A2D" w14:textId="77777777" w:rsidR="007364C7" w:rsidRDefault="007364C7" w:rsidP="007364C7">
      <w:pPr>
        <w:jc w:val="both"/>
        <w:rPr>
          <w:b/>
          <w:sz w:val="32"/>
          <w:szCs w:val="32"/>
          <w:highlight w:val="yellow"/>
        </w:rPr>
      </w:pPr>
    </w:p>
    <w:p w14:paraId="0B7B5940" w14:textId="77777777" w:rsidR="007364C7" w:rsidRDefault="007364C7" w:rsidP="007364C7">
      <w:pPr>
        <w:jc w:val="both"/>
        <w:rPr>
          <w:b/>
          <w:sz w:val="32"/>
          <w:szCs w:val="32"/>
          <w:highlight w:val="yellow"/>
        </w:rPr>
      </w:pPr>
    </w:p>
    <w:p w14:paraId="3CFF31EA" w14:textId="77777777" w:rsidR="007364C7" w:rsidRDefault="007364C7" w:rsidP="007364C7">
      <w:pPr>
        <w:jc w:val="both"/>
        <w:rPr>
          <w:b/>
          <w:sz w:val="32"/>
          <w:szCs w:val="32"/>
          <w:highlight w:val="yellow"/>
        </w:rPr>
      </w:pPr>
    </w:p>
    <w:p w14:paraId="732C4DE1" w14:textId="77777777" w:rsidR="007364C7" w:rsidRDefault="007364C7" w:rsidP="007364C7">
      <w:pPr>
        <w:jc w:val="both"/>
        <w:rPr>
          <w:b/>
          <w:sz w:val="32"/>
          <w:szCs w:val="32"/>
          <w:highlight w:val="yellow"/>
        </w:rPr>
      </w:pPr>
    </w:p>
    <w:p w14:paraId="7FD82096" w14:textId="77777777" w:rsidR="007364C7" w:rsidRDefault="007364C7" w:rsidP="007364C7">
      <w:pPr>
        <w:jc w:val="both"/>
        <w:rPr>
          <w:b/>
          <w:sz w:val="32"/>
          <w:szCs w:val="32"/>
          <w:highlight w:val="yellow"/>
        </w:rPr>
      </w:pPr>
    </w:p>
    <w:p w14:paraId="0CDF402C" w14:textId="77777777" w:rsidR="007364C7" w:rsidRDefault="007364C7" w:rsidP="007364C7">
      <w:pPr>
        <w:jc w:val="both"/>
        <w:rPr>
          <w:b/>
          <w:sz w:val="32"/>
          <w:szCs w:val="32"/>
          <w:highlight w:val="yellow"/>
        </w:rPr>
      </w:pPr>
    </w:p>
    <w:p w14:paraId="7F04FA6B" w14:textId="77777777" w:rsidR="007364C7" w:rsidRDefault="007364C7" w:rsidP="007364C7">
      <w:pPr>
        <w:jc w:val="both"/>
        <w:rPr>
          <w:b/>
          <w:sz w:val="32"/>
          <w:szCs w:val="32"/>
          <w:highlight w:val="yellow"/>
        </w:rPr>
      </w:pPr>
    </w:p>
    <w:p w14:paraId="3257EF0C" w14:textId="77777777" w:rsidR="007364C7" w:rsidRDefault="007364C7" w:rsidP="007364C7">
      <w:pPr>
        <w:jc w:val="both"/>
        <w:rPr>
          <w:b/>
          <w:sz w:val="32"/>
          <w:szCs w:val="32"/>
          <w:highlight w:val="yellow"/>
        </w:rPr>
      </w:pPr>
    </w:p>
    <w:p w14:paraId="5BDF555C" w14:textId="77777777" w:rsidR="007364C7" w:rsidRDefault="007364C7" w:rsidP="007364C7">
      <w:pPr>
        <w:jc w:val="both"/>
        <w:rPr>
          <w:b/>
          <w:sz w:val="32"/>
          <w:szCs w:val="32"/>
          <w:highlight w:val="yellow"/>
        </w:rPr>
      </w:pPr>
    </w:p>
    <w:p w14:paraId="61CF0833" w14:textId="77777777" w:rsidR="00100AE1" w:rsidRPr="007364C7" w:rsidRDefault="00100AE1" w:rsidP="007364C7">
      <w:pPr>
        <w:jc w:val="both"/>
        <w:rPr>
          <w:b/>
          <w:sz w:val="32"/>
          <w:szCs w:val="32"/>
          <w:highlight w:val="yellow"/>
        </w:rPr>
      </w:pPr>
    </w:p>
    <w:sectPr w:rsidR="00100AE1" w:rsidRPr="007364C7" w:rsidSect="00B33910">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2581" w14:textId="77777777" w:rsidR="00C9757D" w:rsidRDefault="00C9757D" w:rsidP="00B33910">
      <w:r>
        <w:separator/>
      </w:r>
    </w:p>
  </w:endnote>
  <w:endnote w:type="continuationSeparator" w:id="0">
    <w:p w14:paraId="7E52D9A4" w14:textId="77777777" w:rsidR="00C9757D" w:rsidRDefault="00C9757D" w:rsidP="00B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1D1" w14:textId="77777777" w:rsidR="00374B6B" w:rsidRDefault="00374B6B" w:rsidP="00101DD7">
    <w:pPr>
      <w:pStyle w:val="Footer"/>
      <w:jc w:val="center"/>
    </w:pPr>
    <w:r>
      <w:t>Office of Accountability and Achievement (OAA)-</w:t>
    </w:r>
    <w:r w:rsidR="00B33910">
      <w:t>Data Monitoring and Compliance (DMC)</w:t>
    </w:r>
  </w:p>
  <w:p w14:paraId="1E15D7E7" w14:textId="0943AF62" w:rsidR="00B33910" w:rsidRDefault="00B33910" w:rsidP="00101DD7">
    <w:pPr>
      <w:pStyle w:val="Footer"/>
      <w:jc w:val="center"/>
    </w:pPr>
    <w:r>
      <w:t>202</w:t>
    </w:r>
    <w:r w:rsidR="00101DD7">
      <w:t>4</w:t>
    </w:r>
    <w:r>
      <w:t>-202</w:t>
    </w:r>
    <w:r w:rsidR="00101DD7">
      <w:t>5</w:t>
    </w:r>
    <w:r>
      <w:t xml:space="preserve"> </w:t>
    </w:r>
    <w:r w:rsidR="00101DD7">
      <w:t>Title I Schoolwide Charter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2E72" w14:textId="77777777" w:rsidR="00C9757D" w:rsidRDefault="00C9757D" w:rsidP="00B33910">
      <w:r>
        <w:separator/>
      </w:r>
    </w:p>
  </w:footnote>
  <w:footnote w:type="continuationSeparator" w:id="0">
    <w:p w14:paraId="7CEA0D1A" w14:textId="77777777" w:rsidR="00C9757D" w:rsidRDefault="00C9757D" w:rsidP="00B3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CE72EF3" w14:textId="77777777" w:rsidR="00B33910" w:rsidRDefault="00B3391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C00F7CC" w14:textId="77777777" w:rsidR="00B33910" w:rsidRDefault="00B3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6E8"/>
    <w:multiLevelType w:val="hybridMultilevel"/>
    <w:tmpl w:val="8BCEE3D4"/>
    <w:lvl w:ilvl="0" w:tplc="E3B64F52">
      <w:start w:val="3"/>
      <w:numFmt w:val="bullet"/>
      <w:lvlText w:val="-"/>
      <w:lvlJc w:val="left"/>
      <w:pPr>
        <w:ind w:left="1080" w:hanging="360"/>
      </w:pPr>
      <w:rPr>
        <w:rFonts w:ascii="Calibri Light" w:eastAsia="Times New Roman" w:hAnsi="Calibri Light" w:cs="Arial" w:hint="default"/>
        <w:b/>
        <w:i w:val="0"/>
        <w:color w:val="4472C4" w:themeColor="accent1"/>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D5846"/>
    <w:multiLevelType w:val="hybridMultilevel"/>
    <w:tmpl w:val="B0A6775E"/>
    <w:lvl w:ilvl="0" w:tplc="D3E6A51C">
      <w:start w:val="2"/>
      <w:numFmt w:val="bullet"/>
      <w:lvlText w:val="-"/>
      <w:lvlJc w:val="left"/>
      <w:pPr>
        <w:ind w:left="1080" w:hanging="360"/>
      </w:pPr>
      <w:rPr>
        <w:rFonts w:ascii="Times New Roman" w:eastAsiaTheme="minorEastAsia"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2C23C1"/>
    <w:multiLevelType w:val="hybridMultilevel"/>
    <w:tmpl w:val="37D2BA74"/>
    <w:lvl w:ilvl="0" w:tplc="9B22107C">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07879"/>
    <w:multiLevelType w:val="hybridMultilevel"/>
    <w:tmpl w:val="41A0EF60"/>
    <w:lvl w:ilvl="0" w:tplc="416C2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503812">
    <w:abstractNumId w:val="0"/>
  </w:num>
  <w:num w:numId="2" w16cid:durableId="1355569791">
    <w:abstractNumId w:val="1"/>
  </w:num>
  <w:num w:numId="3" w16cid:durableId="973562505">
    <w:abstractNumId w:val="3"/>
  </w:num>
  <w:num w:numId="4" w16cid:durableId="192985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10"/>
    <w:rsid w:val="0008384D"/>
    <w:rsid w:val="00100AE1"/>
    <w:rsid w:val="00101DD7"/>
    <w:rsid w:val="00277D19"/>
    <w:rsid w:val="002D12FD"/>
    <w:rsid w:val="002F3994"/>
    <w:rsid w:val="00374B6B"/>
    <w:rsid w:val="00382B0D"/>
    <w:rsid w:val="004162E4"/>
    <w:rsid w:val="0045252B"/>
    <w:rsid w:val="00462CD4"/>
    <w:rsid w:val="0050705F"/>
    <w:rsid w:val="005109DA"/>
    <w:rsid w:val="0061758E"/>
    <w:rsid w:val="00686958"/>
    <w:rsid w:val="006F79EA"/>
    <w:rsid w:val="007364C7"/>
    <w:rsid w:val="0075666C"/>
    <w:rsid w:val="00766579"/>
    <w:rsid w:val="007A09AD"/>
    <w:rsid w:val="007B4F33"/>
    <w:rsid w:val="00964AB2"/>
    <w:rsid w:val="009726AC"/>
    <w:rsid w:val="00974A97"/>
    <w:rsid w:val="009A444F"/>
    <w:rsid w:val="00A566FC"/>
    <w:rsid w:val="00AB7BD6"/>
    <w:rsid w:val="00B130C5"/>
    <w:rsid w:val="00B27945"/>
    <w:rsid w:val="00B33910"/>
    <w:rsid w:val="00C53EB7"/>
    <w:rsid w:val="00C91590"/>
    <w:rsid w:val="00C9757D"/>
    <w:rsid w:val="00CA3D2E"/>
    <w:rsid w:val="00DF5FA2"/>
    <w:rsid w:val="00E0563E"/>
    <w:rsid w:val="00E34742"/>
    <w:rsid w:val="00F26237"/>
    <w:rsid w:val="00F5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5375"/>
  <w15:chartTrackingRefBased/>
  <w15:docId w15:val="{A6B1151D-E656-4794-AD10-8E6B78F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A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391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3910"/>
    <w:pPr>
      <w:ind w:left="720"/>
      <w:contextualSpacing/>
    </w:pPr>
    <w:rPr>
      <w:rFonts w:ascii="Arial" w:hAnsi="Arial" w:cs="Arial"/>
      <w:color w:val="000000"/>
      <w:sz w:val="20"/>
    </w:rPr>
  </w:style>
  <w:style w:type="paragraph" w:styleId="TOCHeading">
    <w:name w:val="TOC Heading"/>
    <w:basedOn w:val="Heading1"/>
    <w:next w:val="Normal"/>
    <w:uiPriority w:val="39"/>
    <w:unhideWhenUsed/>
    <w:qFormat/>
    <w:rsid w:val="00B33910"/>
    <w:pPr>
      <w:spacing w:before="480" w:line="276" w:lineRule="auto"/>
      <w:outlineLvl w:val="9"/>
    </w:pPr>
    <w:rPr>
      <w:b/>
      <w:bCs/>
      <w:sz w:val="28"/>
      <w:szCs w:val="28"/>
    </w:rPr>
  </w:style>
  <w:style w:type="table" w:styleId="TableGrid">
    <w:name w:val="Table Grid"/>
    <w:basedOn w:val="TableNormal"/>
    <w:uiPriority w:val="39"/>
    <w:rsid w:val="00B3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D12FD"/>
    <w:pPr>
      <w:numPr>
        <w:numId w:val="4"/>
      </w:numPr>
      <w:tabs>
        <w:tab w:val="right" w:leader="dot" w:pos="12950"/>
      </w:tabs>
      <w:spacing w:after="100" w:line="480"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33910"/>
    <w:rPr>
      <w:color w:val="0563C1" w:themeColor="hyperlink"/>
      <w:u w:val="single"/>
    </w:rPr>
  </w:style>
  <w:style w:type="paragraph" w:styleId="Subtitle">
    <w:name w:val="Subtitle"/>
    <w:basedOn w:val="Normal"/>
    <w:next w:val="Normal"/>
    <w:link w:val="SubtitleChar"/>
    <w:uiPriority w:val="11"/>
    <w:qFormat/>
    <w:rsid w:val="00B33910"/>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33910"/>
    <w:rPr>
      <w:rFonts w:eastAsiaTheme="minorEastAsia"/>
      <w:color w:val="5A5A5A" w:themeColor="text1" w:themeTint="A5"/>
      <w:spacing w:val="15"/>
    </w:rPr>
  </w:style>
  <w:style w:type="paragraph" w:styleId="Header">
    <w:name w:val="header"/>
    <w:basedOn w:val="Normal"/>
    <w:link w:val="HeaderChar"/>
    <w:uiPriority w:val="99"/>
    <w:unhideWhenUsed/>
    <w:rsid w:val="00B339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33910"/>
  </w:style>
  <w:style w:type="paragraph" w:styleId="Footer">
    <w:name w:val="footer"/>
    <w:basedOn w:val="Normal"/>
    <w:link w:val="FooterChar"/>
    <w:uiPriority w:val="99"/>
    <w:unhideWhenUsed/>
    <w:rsid w:val="00B339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3910"/>
  </w:style>
  <w:style w:type="character" w:styleId="FollowedHyperlink">
    <w:name w:val="FollowedHyperlink"/>
    <w:basedOn w:val="DefaultParagraphFont"/>
    <w:uiPriority w:val="99"/>
    <w:semiHidden/>
    <w:unhideWhenUsed/>
    <w:rsid w:val="0045252B"/>
    <w:rPr>
      <w:color w:val="954F72" w:themeColor="followedHyperlink"/>
      <w:u w:val="single"/>
    </w:rPr>
  </w:style>
  <w:style w:type="paragraph" w:styleId="NormalWeb">
    <w:name w:val="Normal (Web)"/>
    <w:basedOn w:val="Normal"/>
    <w:uiPriority w:val="99"/>
    <w:semiHidden/>
    <w:unhideWhenUsed/>
    <w:rsid w:val="00100AE1"/>
    <w:pPr>
      <w:spacing w:before="100" w:beforeAutospacing="1" w:after="100" w:afterAutospacing="1"/>
    </w:pPr>
  </w:style>
  <w:style w:type="character" w:styleId="CommentReference">
    <w:name w:val="annotation reference"/>
    <w:basedOn w:val="DefaultParagraphFont"/>
    <w:uiPriority w:val="99"/>
    <w:semiHidden/>
    <w:unhideWhenUsed/>
    <w:rsid w:val="00F26237"/>
    <w:rPr>
      <w:sz w:val="16"/>
      <w:szCs w:val="16"/>
    </w:rPr>
  </w:style>
  <w:style w:type="paragraph" w:styleId="CommentText">
    <w:name w:val="annotation text"/>
    <w:basedOn w:val="Normal"/>
    <w:link w:val="CommentTextChar"/>
    <w:uiPriority w:val="99"/>
    <w:unhideWhenUsed/>
    <w:rsid w:val="00F2623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26237"/>
    <w:rPr>
      <w:sz w:val="20"/>
      <w:szCs w:val="20"/>
    </w:rPr>
  </w:style>
  <w:style w:type="paragraph" w:styleId="CommentSubject">
    <w:name w:val="annotation subject"/>
    <w:basedOn w:val="CommentText"/>
    <w:next w:val="CommentText"/>
    <w:link w:val="CommentSubjectChar"/>
    <w:uiPriority w:val="99"/>
    <w:semiHidden/>
    <w:unhideWhenUsed/>
    <w:rsid w:val="00B130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130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8035">
      <w:bodyDiv w:val="1"/>
      <w:marLeft w:val="0"/>
      <w:marRight w:val="0"/>
      <w:marTop w:val="0"/>
      <w:marBottom w:val="0"/>
      <w:divBdr>
        <w:top w:val="none" w:sz="0" w:space="0" w:color="auto"/>
        <w:left w:val="none" w:sz="0" w:space="0" w:color="auto"/>
        <w:bottom w:val="none" w:sz="0" w:space="0" w:color="auto"/>
        <w:right w:val="none" w:sz="0" w:space="0" w:color="auto"/>
      </w:divBdr>
    </w:div>
    <w:div w:id="1318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ltimorecityschools.org/procurement-federal-fun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C61C21D435946BAF34DCDFD0F374A" ma:contentTypeVersion="16" ma:contentTypeDescription="Create a new document." ma:contentTypeScope="" ma:versionID="a2a491bb76c7f92a1690d75f670d6cef">
  <xsd:schema xmlns:xsd="http://www.w3.org/2001/XMLSchema" xmlns:xs="http://www.w3.org/2001/XMLSchema" xmlns:p="http://schemas.microsoft.com/office/2006/metadata/properties" xmlns:ns2="37b1f354-fb77-48eb-8759-2dcbd5846575" xmlns:ns3="77fc6583-f50e-4708-9dec-432e804985d9" targetNamespace="http://schemas.microsoft.com/office/2006/metadata/properties" ma:root="true" ma:fieldsID="36e95af40fa74865daf6209abc0efb4a" ns2:_="" ns3:_="">
    <xsd:import namespace="37b1f354-fb77-48eb-8759-2dcbd5846575"/>
    <xsd:import namespace="77fc6583-f50e-4708-9dec-432e80498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1f354-fb77-48eb-8759-2dcbd5846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a22690-3e24-4f14-abf5-679402cfee6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c6583-f50e-4708-9dec-432e80498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7918d-991e-4eb4-b763-9b7c75770661}" ma:internalName="TaxCatchAll" ma:showField="CatchAllData" ma:web="77fc6583-f50e-4708-9dec-432e80498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1f354-fb77-48eb-8759-2dcbd5846575">
      <Terms xmlns="http://schemas.microsoft.com/office/infopath/2007/PartnerControls"/>
    </lcf76f155ced4ddcb4097134ff3c332f>
    <TaxCatchAll xmlns="77fc6583-f50e-4708-9dec-432e804985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B49A-966D-4AFD-A3E7-3EEB7B4A44E1}">
  <ds:schemaRefs>
    <ds:schemaRef ds:uri="http://schemas.microsoft.com/sharepoint/v3/contenttype/forms"/>
  </ds:schemaRefs>
</ds:datastoreItem>
</file>

<file path=customXml/itemProps2.xml><?xml version="1.0" encoding="utf-8"?>
<ds:datastoreItem xmlns:ds="http://schemas.openxmlformats.org/officeDocument/2006/customXml" ds:itemID="{AC26A6C5-EF2A-4CFE-8F76-DD438F84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1f354-fb77-48eb-8759-2dcbd5846575"/>
    <ds:schemaRef ds:uri="77fc6583-f50e-4708-9dec-432e8049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707F1-E146-40EA-82C8-401A514594B8}">
  <ds:schemaRefs>
    <ds:schemaRef ds:uri="http://schemas.microsoft.com/office/2006/metadata/properties"/>
    <ds:schemaRef ds:uri="http://schemas.microsoft.com/office/infopath/2007/PartnerControls"/>
    <ds:schemaRef ds:uri="37b1f354-fb77-48eb-8759-2dcbd5846575"/>
    <ds:schemaRef ds:uri="77fc6583-f50e-4708-9dec-432e804985d9"/>
  </ds:schemaRefs>
</ds:datastoreItem>
</file>

<file path=customXml/itemProps4.xml><?xml version="1.0" encoding="utf-8"?>
<ds:datastoreItem xmlns:ds="http://schemas.openxmlformats.org/officeDocument/2006/customXml" ds:itemID="{FE4AA5E7-D673-4255-BFC1-F0F53040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Kindra D</dc:creator>
  <cp:keywords/>
  <dc:description/>
  <cp:lastModifiedBy>Emily Augustine</cp:lastModifiedBy>
  <cp:revision>2</cp:revision>
  <cp:lastPrinted>2021-10-21T14:46:00Z</cp:lastPrinted>
  <dcterms:created xsi:type="dcterms:W3CDTF">2024-05-07T17:25:00Z</dcterms:created>
  <dcterms:modified xsi:type="dcterms:W3CDTF">2024-05-07T17:25:00Z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0x010100F81C61C21D435946BAF34DCDFD0F374A</vt:lpwstr>
  </property>
</Properties>
</file>